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16E60">
      <w:pPr>
        <w:rPr>
          <w:rFonts w:hint="eastAsia"/>
        </w:rPr>
      </w:pPr>
    </w:p>
    <w:p w14:paraId="4B113786">
      <w:pPr>
        <w:jc w:val="center"/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sz w:val="36"/>
          <w:szCs w:val="44"/>
        </w:rPr>
        <w:t>体检中心招投标</w:t>
      </w:r>
      <w:r>
        <w:rPr>
          <w:rFonts w:hint="eastAsia"/>
          <w:b/>
          <w:bCs/>
          <w:sz w:val="36"/>
          <w:szCs w:val="44"/>
          <w:lang w:eastAsia="zh-CN"/>
        </w:rPr>
        <w:t>书写</w:t>
      </w:r>
      <w:r>
        <w:rPr>
          <w:rFonts w:hint="eastAsia"/>
          <w:b/>
          <w:bCs/>
          <w:sz w:val="36"/>
          <w:szCs w:val="44"/>
        </w:rPr>
        <w:t>服务机构要求及标准</w:t>
      </w:r>
    </w:p>
    <w:p w14:paraId="309382D5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0BCF9AA2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一、项目背景</w:t>
      </w:r>
    </w:p>
    <w:p w14:paraId="0897AF8A">
      <w:pPr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为进一步规范本中心体检服务项目招投标管理工作，强化依法合规意识，防范廉政风险，提升投标文件质量及项目执行规范性，根据国家有关法律法规及公立医院管理相关规定，现面向社会公开遴选具备专业能力的招投标服务机构，为本中心提供规范化、专业化技术支持服务。</w:t>
      </w:r>
    </w:p>
    <w:p w14:paraId="3CD5F83E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、服务内容</w:t>
      </w:r>
    </w:p>
    <w:p w14:paraId="2243AC0A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入选服务机构须在合法合规前提下，提供以下服务：</w:t>
      </w:r>
    </w:p>
    <w:p w14:paraId="28954380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（一）投标文件编制（技术标、商务标等）；</w:t>
      </w:r>
    </w:p>
    <w:p w14:paraId="5EEB7216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（二）招投标全过程技术支持（报名、答疑、开标等）；</w:t>
      </w:r>
    </w:p>
    <w:p w14:paraId="3C36B60D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（三）标前分析及策略建议（限合规范围内）；</w:t>
      </w:r>
    </w:p>
    <w:p w14:paraId="46E1C339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（四）资料整理、归档及规范化管理；</w:t>
      </w:r>
    </w:p>
    <w:p w14:paraId="7B4E4F8B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（五）其他经批准的相关服务。</w:t>
      </w:r>
    </w:p>
    <w:p w14:paraId="0A41CEED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、专业能力要求</w:t>
      </w:r>
    </w:p>
    <w:p w14:paraId="21AD0E2F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（一）医疗行业服务经验</w:t>
      </w:r>
    </w:p>
    <w:p w14:paraId="645A045E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具有医疗机构或体检服务类项目招投标经验，提供相关业绩证明材料。</w:t>
      </w:r>
    </w:p>
    <w:p w14:paraId="6659037D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（二）规范化编制能力</w:t>
      </w:r>
    </w:p>
    <w:p w14:paraId="50BDE6FC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熟悉政府采购文件规范，能够按照评分标准进行针对性、规范化编制，不得套用模板或存在明显拼接痕迹。</w:t>
      </w:r>
    </w:p>
    <w:p w14:paraId="42452A90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（三）政策理解能力</w:t>
      </w:r>
    </w:p>
    <w:p w14:paraId="2AA1DE53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熟悉国家及地方关于公立医院、医疗服务及政府采购的相关政策规定。</w:t>
      </w:r>
    </w:p>
    <w:p w14:paraId="21782AD5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（四）全过程服务能力</w:t>
      </w:r>
    </w:p>
    <w:p w14:paraId="77A74CD0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能够提供完整、连续、规范的招投标服务支持。</w:t>
      </w:r>
    </w:p>
    <w:p w14:paraId="43D7A544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、重点合规与廉</w:t>
      </w:r>
      <w:bookmarkStart w:id="0" w:name="_GoBack"/>
      <w:bookmarkEnd w:id="0"/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政要求（核心条款）</w:t>
      </w:r>
    </w:p>
    <w:p w14:paraId="3BE5A654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4F833DC1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为符合公立医院廉政建设要求，服务机构必须严格遵守以下规定：</w:t>
      </w:r>
    </w:p>
    <w:p w14:paraId="7B714042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56710E1B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（一）严禁参与或组织围标、串标、陪标等违法行为；</w:t>
      </w:r>
    </w:p>
    <w:p w14:paraId="3475CD13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6A8E4EC5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（二）严禁以任何形式实施或变相实施商业贿赂；</w:t>
      </w:r>
    </w:p>
    <w:p w14:paraId="51A7B6DF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72B13484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（三）不得与采购单位工作人员存在不正当利益关系；</w:t>
      </w:r>
    </w:p>
    <w:p w14:paraId="31D78152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14F1A956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（四）不得私下接触评标专家或干预评标过程；</w:t>
      </w:r>
    </w:p>
    <w:p w14:paraId="37D99AD1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1CF97628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（五）不得承诺或采取不正当手段影响中标结果；</w:t>
      </w:r>
    </w:p>
    <w:p w14:paraId="52C653B8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08AFCA28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（六）须签署《廉洁合作承诺书》，接受纪检监督；</w:t>
      </w:r>
    </w:p>
    <w:p w14:paraId="4F84974F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2D53E25C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（七）如发生违规行为，医院有权立即终止合作并追究责任。</w:t>
      </w:r>
    </w:p>
    <w:p w14:paraId="09066376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437F0589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1C040FCE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、信息安全与数据管理要求</w:t>
      </w:r>
    </w:p>
    <w:p w14:paraId="1F32D181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0786ADDF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（一）严格履行保密义务，不得泄露医院相关信息；</w:t>
      </w:r>
    </w:p>
    <w:p w14:paraId="1F7E1C6A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32C55D27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（二）不得将体检服务数据、客户信息用于其他用途；</w:t>
      </w:r>
    </w:p>
    <w:p w14:paraId="2B60D9BF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49EFA5EA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（三）投标文件及相关资料应规范存储，防止信息外泄；</w:t>
      </w:r>
    </w:p>
    <w:p w14:paraId="1B32551D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2D6548D9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（四）项目结束后，按规定完成资料归档或销毁。</w:t>
      </w:r>
    </w:p>
    <w:p w14:paraId="4FE1AFB6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258FFF02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:lang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、服务规范要求</w:t>
      </w:r>
    </w:p>
    <w:p w14:paraId="5FD073FB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4A56AC81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（一）应设立固定项目负责人，确保沟通顺畅；</w:t>
      </w:r>
    </w:p>
    <w:p w14:paraId="521E8862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1B5C2186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（二）投标文件编制应符合规范要求，内容真实、完整；</w:t>
      </w:r>
    </w:p>
    <w:p w14:paraId="0F2A325C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206ECA7D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（三）服务响应及时，高效配合项目推进；</w:t>
      </w:r>
    </w:p>
    <w:p w14:paraId="4894F73C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07FD39B4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（四）不得以任何形式影响医院独立决策。</w:t>
      </w:r>
    </w:p>
    <w:p w14:paraId="7A424B4F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41EE2FCC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、费用及结算要求（合规重点）</w:t>
      </w:r>
    </w:p>
    <w:p w14:paraId="6F853077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1D7C9E55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（一）费用结构须合法、透明，不得存在隐性收费；</w:t>
      </w:r>
    </w:p>
    <w:p w14:paraId="60BC51F4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1592350D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（二）原则上采用固定服务费用模式；</w:t>
      </w:r>
    </w:p>
    <w:p w14:paraId="5D04DFBF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5FAE8F5F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（三）不得以“中标提成”“利益分成”等方式开展合作；</w:t>
      </w:r>
    </w:p>
    <w:p w14:paraId="078C036C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439D7553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（四）结算须符合公立医院财务及审计管理要求。</w:t>
      </w:r>
    </w:p>
    <w:p w14:paraId="2DCF66AB">
      <w:pPr>
        <w:rPr>
          <w:rFonts w:hint="eastAsia" w:ascii="宋体" w:hAnsi="宋体" w:eastAsia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</w:p>
    <w:p w14:paraId="1F00F8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41BF7"/>
    <w:rsid w:val="0DE310F0"/>
    <w:rsid w:val="0E826035"/>
    <w:rsid w:val="13A46671"/>
    <w:rsid w:val="15B13321"/>
    <w:rsid w:val="279C010A"/>
    <w:rsid w:val="3AC10DF2"/>
    <w:rsid w:val="3B7F24AA"/>
    <w:rsid w:val="4336310B"/>
    <w:rsid w:val="5E6C5CFB"/>
    <w:rsid w:val="76D5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1576</Words>
  <Characters>1592</Characters>
  <Lines>0</Lines>
  <Paragraphs>0</Paragraphs>
  <TotalTime>7</TotalTime>
  <ScaleCrop>false</ScaleCrop>
  <LinksUpToDate>false</LinksUpToDate>
  <CharactersWithSpaces>1604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2026-03-17T02:18:00Z</dcterms:created>
  <dc:creator>Administrator</dc:creator>
  <cp:lastModifiedBy>苟国兰</cp:lastModifiedBy>
  <dcterms:modified xsi:type="dcterms:W3CDTF">2026-03-17T07:38:51Z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eyJoZGlkIjoiOWQxZjg5MTVkNDMzNTNkMTc0YmI3MDIzZjgwMGYyODIiLCJ1c2VySWQiOiIzOTg5NDA1MTQifQ==</vt:lpwstr>
  </property>
  <property fmtid="{D5CDD505-2E9C-101B-9397-08002B2CF9AE}" pid="4" name="ICV">
    <vt:lpwstr>177C38C97CDD494584D127A01D91CB01_12</vt:lpwstr>
  </property>
</Properties>
</file>