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287DA">
      <w:pPr>
        <w:ind w:right="280"/>
        <w:jc w:val="center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遵义市第一人民医院两院区环评、预控评项目服务磋商办法</w:t>
      </w:r>
      <w:bookmarkStart w:id="0" w:name="_GoBack"/>
      <w:bookmarkEnd w:id="0"/>
    </w:p>
    <w:p w14:paraId="37731C31">
      <w:pPr>
        <w:ind w:right="280"/>
        <w:jc w:val="center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2F2E3F00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根据我院桃溪院区建设需求及竞争性磋商管理办法，特制定本次磋商流程，请各潜在供应商按要求准备资料并参与。</w:t>
      </w:r>
    </w:p>
    <w:p w14:paraId="63EB2546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一、响应文件组成响应要求</w:t>
      </w:r>
    </w:p>
    <w:p w14:paraId="60F6EE3D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1.有效期内的营业执照（加盖鲜章）；</w:t>
      </w:r>
    </w:p>
    <w:p w14:paraId="63907D4E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2.具有法人签字并盖公司鲜章的授权委托书，法人到场的需准备法人身份证原件；</w:t>
      </w:r>
    </w:p>
    <w:p w14:paraId="655EE939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3.近三年类似服务业绩合同及该合同配套环保、卫生部门环评预控评审批文件；</w:t>
      </w:r>
    </w:p>
    <w:p w14:paraId="42D3EF6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4.技术服务方案；</w:t>
      </w:r>
    </w:p>
    <w:p w14:paraId="15019A39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   </w:t>
      </w:r>
    </w:p>
    <w:p w14:paraId="498FD18B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二、评分标准</w:t>
      </w:r>
    </w:p>
    <w:p w14:paraId="7A661340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   </w:t>
      </w:r>
    </w:p>
    <w:tbl>
      <w:tblPr>
        <w:tblStyle w:val="7"/>
        <w:tblW w:w="9658" w:type="dxa"/>
        <w:tblInd w:w="-138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6"/>
        <w:gridCol w:w="803"/>
        <w:gridCol w:w="7349"/>
      </w:tblGrid>
      <w:tr w14:paraId="769F52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06" w:type="dxa"/>
            <w:vAlign w:val="top"/>
          </w:tcPr>
          <w:p w14:paraId="7A0400F6">
            <w:pPr>
              <w:pStyle w:val="6"/>
              <w:spacing w:before="146" w:line="301" w:lineRule="auto"/>
              <w:ind w:left="289" w:right="71" w:hanging="214"/>
              <w:rPr>
                <w:sz w:val="22"/>
                <w:szCs w:val="22"/>
                <w:highlight w:val="none"/>
              </w:rPr>
            </w:pPr>
            <w:r>
              <w:rPr>
                <w:b/>
                <w:bCs/>
                <w:spacing w:val="5"/>
                <w:sz w:val="22"/>
                <w:szCs w:val="22"/>
                <w:highlight w:val="none"/>
              </w:rPr>
              <w:t>评分内</w:t>
            </w:r>
            <w:r>
              <w:rPr>
                <w:b/>
                <w:bCs/>
                <w:spacing w:val="-3"/>
                <w:sz w:val="22"/>
                <w:szCs w:val="22"/>
                <w:highlight w:val="none"/>
              </w:rPr>
              <w:t>容</w:t>
            </w:r>
          </w:p>
        </w:tc>
        <w:tc>
          <w:tcPr>
            <w:tcW w:w="803" w:type="dxa"/>
            <w:vAlign w:val="top"/>
          </w:tcPr>
          <w:p w14:paraId="3A391C70">
            <w:pPr>
              <w:spacing w:line="279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352C6AB8">
            <w:pPr>
              <w:pStyle w:val="6"/>
              <w:spacing w:before="65" w:line="228" w:lineRule="auto"/>
              <w:ind w:left="183"/>
              <w:rPr>
                <w:sz w:val="22"/>
                <w:szCs w:val="22"/>
                <w:highlight w:val="none"/>
              </w:rPr>
            </w:pPr>
            <w:r>
              <w:rPr>
                <w:b/>
                <w:bCs/>
                <w:spacing w:val="2"/>
                <w:sz w:val="22"/>
                <w:szCs w:val="22"/>
                <w:highlight w:val="none"/>
              </w:rPr>
              <w:t>分值</w:t>
            </w:r>
          </w:p>
        </w:tc>
        <w:tc>
          <w:tcPr>
            <w:tcW w:w="7349" w:type="dxa"/>
            <w:vAlign w:val="top"/>
          </w:tcPr>
          <w:p w14:paraId="4C5DB0E7">
            <w:pPr>
              <w:spacing w:line="279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5AC655E2">
            <w:pPr>
              <w:pStyle w:val="6"/>
              <w:spacing w:before="65" w:line="229" w:lineRule="auto"/>
              <w:ind w:left="2884"/>
              <w:rPr>
                <w:sz w:val="22"/>
                <w:szCs w:val="22"/>
                <w:highlight w:val="none"/>
              </w:rPr>
            </w:pPr>
            <w:r>
              <w:rPr>
                <w:b/>
                <w:bCs/>
                <w:spacing w:val="6"/>
                <w:sz w:val="22"/>
                <w:szCs w:val="22"/>
                <w:highlight w:val="none"/>
              </w:rPr>
              <w:t>评分标准</w:t>
            </w:r>
          </w:p>
        </w:tc>
      </w:tr>
      <w:tr w14:paraId="2B2A35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0" w:hRule="atLeast"/>
        </w:trPr>
        <w:tc>
          <w:tcPr>
            <w:tcW w:w="1506" w:type="dxa"/>
            <w:vAlign w:val="top"/>
          </w:tcPr>
          <w:p w14:paraId="272423F0">
            <w:pPr>
              <w:spacing w:line="246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18394D72">
            <w:pPr>
              <w:spacing w:line="247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1A271A4E">
            <w:pPr>
              <w:pStyle w:val="6"/>
              <w:spacing w:before="72" w:line="322" w:lineRule="auto"/>
              <w:ind w:left="10" w:right="110" w:firstLine="1"/>
              <w:rPr>
                <w:sz w:val="22"/>
                <w:szCs w:val="22"/>
                <w:highlight w:val="none"/>
              </w:rPr>
            </w:pPr>
            <w:r>
              <w:rPr>
                <w:spacing w:val="-4"/>
                <w:sz w:val="22"/>
                <w:szCs w:val="22"/>
                <w:highlight w:val="none"/>
              </w:rPr>
              <w:t>投标报</w:t>
            </w:r>
            <w:r>
              <w:rPr>
                <w:sz w:val="22"/>
                <w:szCs w:val="22"/>
                <w:highlight w:val="none"/>
              </w:rPr>
              <w:t>价</w:t>
            </w:r>
          </w:p>
        </w:tc>
        <w:tc>
          <w:tcPr>
            <w:tcW w:w="803" w:type="dxa"/>
            <w:vAlign w:val="top"/>
          </w:tcPr>
          <w:p w14:paraId="2EC564C0">
            <w:pPr>
              <w:spacing w:line="241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097F993C">
            <w:pPr>
              <w:spacing w:line="241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53E3C944">
            <w:pPr>
              <w:pStyle w:val="6"/>
              <w:spacing w:before="72" w:line="222" w:lineRule="auto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pacing w:val="-5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spacing w:val="-5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49" w:type="dxa"/>
            <w:vAlign w:val="top"/>
          </w:tcPr>
          <w:p w14:paraId="4CDD5B23">
            <w:pPr>
              <w:pStyle w:val="6"/>
              <w:spacing w:before="33" w:line="361" w:lineRule="auto"/>
              <w:ind w:left="9" w:right="2" w:hanging="1"/>
              <w:jc w:val="both"/>
              <w:rPr>
                <w:rFonts w:ascii="Arial"/>
                <w:sz w:val="22"/>
                <w:szCs w:val="22"/>
                <w:highlight w:val="none"/>
              </w:rPr>
            </w:pPr>
            <w:r>
              <w:rPr>
                <w:spacing w:val="11"/>
                <w:sz w:val="22"/>
                <w:szCs w:val="22"/>
                <w:highlight w:val="none"/>
              </w:rPr>
              <w:t>投标报价得分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  <w:highlight w:val="none"/>
              </w:rPr>
              <w:t>=(</w:t>
            </w:r>
            <w:r>
              <w:rPr>
                <w:spacing w:val="11"/>
                <w:sz w:val="22"/>
                <w:szCs w:val="22"/>
                <w:highlight w:val="none"/>
              </w:rPr>
              <w:t>评标基准价／投标报价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  <w:highlight w:val="none"/>
              </w:rPr>
              <w:t>)×</w:t>
            </w:r>
            <w:r>
              <w:rPr>
                <w:spacing w:val="11"/>
                <w:sz w:val="22"/>
                <w:szCs w:val="22"/>
                <w:highlight w:val="none"/>
              </w:rPr>
              <w:t>价格权值（</w:t>
            </w:r>
            <w:r>
              <w:rPr>
                <w:rFonts w:hint="eastAsia" w:ascii="Times New Roman" w:hAnsi="Times New Roman" w:eastAsia="宋体" w:cs="Times New Roman"/>
                <w:spacing w:val="11"/>
                <w:sz w:val="22"/>
                <w:szCs w:val="22"/>
                <w:highlight w:val="none"/>
                <w:lang w:val="en-US" w:eastAsia="zh-CN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  <w:highlight w:val="none"/>
              </w:rPr>
              <w:t>0%</w:t>
            </w:r>
            <w:r>
              <w:rPr>
                <w:spacing w:val="11"/>
                <w:sz w:val="22"/>
                <w:szCs w:val="22"/>
                <w:highlight w:val="none"/>
              </w:rPr>
              <w:t>）</w:t>
            </w:r>
            <w:r>
              <w:rPr>
                <w:spacing w:val="-48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1"/>
                <w:sz w:val="22"/>
                <w:szCs w:val="22"/>
                <w:highlight w:val="none"/>
              </w:rPr>
              <w:t>×100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8"/>
                <w:sz w:val="22"/>
                <w:szCs w:val="22"/>
                <w:highlight w:val="none"/>
              </w:rPr>
              <w:t>（四舍五入后保留小数点后两位）。</w:t>
            </w:r>
          </w:p>
          <w:p w14:paraId="257747B3">
            <w:pPr>
              <w:pStyle w:val="6"/>
              <w:spacing w:before="65" w:line="368" w:lineRule="auto"/>
              <w:ind w:left="8" w:right="6"/>
              <w:jc w:val="both"/>
              <w:rPr>
                <w:sz w:val="22"/>
                <w:szCs w:val="22"/>
                <w:highlight w:val="none"/>
              </w:rPr>
            </w:pPr>
          </w:p>
        </w:tc>
      </w:tr>
      <w:tr w14:paraId="59D4B87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8" w:hRule="atLeast"/>
        </w:trPr>
        <w:tc>
          <w:tcPr>
            <w:tcW w:w="1506" w:type="dxa"/>
            <w:vAlign w:val="top"/>
          </w:tcPr>
          <w:p w14:paraId="3B8237E1">
            <w:pPr>
              <w:spacing w:line="259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5B048D0E">
            <w:pPr>
              <w:spacing w:line="259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06CF11EC">
            <w:pPr>
              <w:spacing w:line="259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52A138AA">
            <w:pPr>
              <w:spacing w:line="259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72A043C4">
            <w:pPr>
              <w:pStyle w:val="6"/>
              <w:spacing w:before="71" w:line="327" w:lineRule="auto"/>
              <w:ind w:left="7" w:right="110" w:firstLine="2"/>
              <w:jc w:val="both"/>
              <w:rPr>
                <w:rFonts w:hint="eastAsia" w:eastAsia="宋体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z w:val="22"/>
                <w:szCs w:val="22"/>
                <w:highlight w:val="none"/>
                <w:lang w:eastAsia="zh-CN"/>
              </w:rPr>
              <w:t>服务适用性</w:t>
            </w:r>
          </w:p>
        </w:tc>
        <w:tc>
          <w:tcPr>
            <w:tcW w:w="803" w:type="dxa"/>
            <w:vAlign w:val="top"/>
          </w:tcPr>
          <w:p w14:paraId="7D20E47E">
            <w:pPr>
              <w:spacing w:line="286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32A6036C">
            <w:pPr>
              <w:spacing w:line="286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63C1058F">
            <w:pPr>
              <w:spacing w:line="287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47C2E5CC">
            <w:pPr>
              <w:spacing w:line="287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2A2D6785">
            <w:pPr>
              <w:spacing w:line="287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4DF40FBC">
            <w:pPr>
              <w:pStyle w:val="6"/>
              <w:spacing w:before="71" w:line="222" w:lineRule="auto"/>
              <w:ind w:left="15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pacing w:val="-5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spacing w:val="-5"/>
                <w:sz w:val="22"/>
                <w:szCs w:val="22"/>
                <w:highlight w:val="none"/>
              </w:rPr>
              <w:t>0</w:t>
            </w:r>
            <w:r>
              <w:rPr>
                <w:spacing w:val="-45"/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-5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49" w:type="dxa"/>
            <w:vAlign w:val="top"/>
          </w:tcPr>
          <w:p w14:paraId="60C45EA5">
            <w:pPr>
              <w:pStyle w:val="6"/>
              <w:spacing w:before="34" w:line="228" w:lineRule="auto"/>
              <w:ind w:left="9"/>
              <w:rPr>
                <w:spacing w:val="8"/>
                <w:sz w:val="22"/>
                <w:szCs w:val="22"/>
                <w:highlight w:val="none"/>
              </w:rPr>
            </w:pPr>
            <w:r>
              <w:rPr>
                <w:rFonts w:hint="eastAsia"/>
                <w:spacing w:val="8"/>
                <w:sz w:val="22"/>
                <w:szCs w:val="22"/>
                <w:highlight w:val="none"/>
                <w:lang w:eastAsia="zh-CN"/>
              </w:rPr>
              <w:t>评审小组根据潜在供应商提供技术服务方案评审</w:t>
            </w:r>
            <w:r>
              <w:rPr>
                <w:spacing w:val="8"/>
                <w:sz w:val="22"/>
                <w:szCs w:val="22"/>
                <w:highlight w:val="none"/>
              </w:rPr>
              <w:t>：</w:t>
            </w:r>
          </w:p>
          <w:p w14:paraId="1B8B4453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pacing w:val="8"/>
                <w:sz w:val="22"/>
                <w:szCs w:val="22"/>
                <w:highlight w:val="none"/>
                <w:lang w:eastAsia="zh-CN"/>
              </w:rPr>
              <w:t>服务人员专业性（</w:t>
            </w:r>
            <w:r>
              <w:rPr>
                <w:rFonts w:hint="eastAsia"/>
                <w:b/>
                <w:bCs/>
                <w:spacing w:val="8"/>
                <w:sz w:val="22"/>
                <w:szCs w:val="22"/>
                <w:highlight w:val="none"/>
                <w:lang w:val="en-US" w:eastAsia="zh-CN"/>
              </w:rPr>
              <w:t>1-15分</w:t>
            </w:r>
            <w:r>
              <w:rPr>
                <w:rFonts w:hint="eastAsia"/>
                <w:b/>
                <w:bCs/>
                <w:spacing w:val="8"/>
                <w:sz w:val="22"/>
                <w:szCs w:val="22"/>
                <w:highlight w:val="none"/>
                <w:lang w:eastAsia="zh-CN"/>
              </w:rPr>
              <w:t>）：</w:t>
            </w:r>
            <w:r>
              <w:rPr>
                <w:rFonts w:hint="eastAsia"/>
                <w:spacing w:val="8"/>
                <w:sz w:val="22"/>
                <w:szCs w:val="22"/>
                <w:highlight w:val="none"/>
                <w:lang w:eastAsia="zh-CN"/>
              </w:rPr>
              <w:t>根据现场服务人员参与同类项目数量，每增加一个项目得</w:t>
            </w:r>
            <w:r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  <w:t>5分。（提供现场服务人员项目业绩经验证明材料，如甲方委托授权、验收签字证明）（如评审小组认为证明材料无法证明相关经验不得分）（如投标人履行合同过程中，采购人发现投标人未安排该名现场服务人员提供服务，采购人有权按照不超过合同金额10%标准拒付服务费或终止合同）</w:t>
            </w:r>
          </w:p>
          <w:p w14:paraId="39D76D54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pacing w:val="8"/>
                <w:sz w:val="22"/>
                <w:szCs w:val="22"/>
                <w:highlight w:val="none"/>
                <w:lang w:val="en-US" w:eastAsia="zh-CN"/>
              </w:rPr>
              <w:t>技术服务方案合理性(1-35分）：</w:t>
            </w:r>
            <w:r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  <w:t>根据投标人制定的技术方案完整性、服务进度计划、进度保证措施等进行综合评分：（投标人履行合同过程中未按照技术服务方案进行实施的，采购人有权按照不超过合同金额10%标准拒付服务费或终止合同）</w:t>
            </w:r>
          </w:p>
          <w:p w14:paraId="05D83B0B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  <w:t>①进度安排非常科学，可操作性强，人员安排非常合理，完全满足或优于用户需求的得28-35分；</w:t>
            </w:r>
          </w:p>
          <w:p w14:paraId="59418650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  <w:t>②进度安排科学，可操作性一般，人员安排较合理，较能满足用户需求并有一定亮点的得15-27分；</w:t>
            </w:r>
          </w:p>
          <w:p w14:paraId="06EA5D71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  <w:t>③进度安排基本合理，具有一定可操作性，人员安排基本合理，基本满足用户需求的得1-14分；</w:t>
            </w:r>
          </w:p>
          <w:p w14:paraId="71A41CEC">
            <w:pPr>
              <w:pStyle w:val="6"/>
              <w:spacing w:before="34" w:line="228" w:lineRule="auto"/>
              <w:ind w:left="9"/>
              <w:rPr>
                <w:rFonts w:hint="eastAsia"/>
                <w:spacing w:val="8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  <w:t>④不提供方案不得分。</w:t>
            </w:r>
          </w:p>
        </w:tc>
      </w:tr>
      <w:tr w14:paraId="501E90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76751283">
            <w:pPr>
              <w:spacing w:line="460" w:lineRule="auto"/>
              <w:jc w:val="center"/>
              <w:rPr>
                <w:rFonts w:ascii="Arial"/>
                <w:sz w:val="22"/>
                <w:szCs w:val="22"/>
                <w:highlight w:val="none"/>
              </w:rPr>
            </w:pPr>
          </w:p>
          <w:p w14:paraId="4637036B">
            <w:pPr>
              <w:pStyle w:val="6"/>
              <w:spacing w:before="72" w:line="222" w:lineRule="auto"/>
              <w:ind w:left="8"/>
              <w:jc w:val="center"/>
              <w:rPr>
                <w:sz w:val="22"/>
                <w:szCs w:val="22"/>
                <w:highlight w:val="none"/>
              </w:rPr>
            </w:pPr>
            <w:r>
              <w:rPr>
                <w:spacing w:val="-3"/>
                <w:sz w:val="22"/>
                <w:szCs w:val="22"/>
                <w:highlight w:val="none"/>
              </w:rPr>
              <w:t>业绩</w:t>
            </w:r>
          </w:p>
        </w:tc>
        <w:tc>
          <w:tcPr>
            <w:tcW w:w="803" w:type="dxa"/>
            <w:vAlign w:val="top"/>
          </w:tcPr>
          <w:p w14:paraId="76AC2E07">
            <w:pPr>
              <w:spacing w:line="460" w:lineRule="auto"/>
              <w:rPr>
                <w:rFonts w:ascii="Arial"/>
                <w:sz w:val="22"/>
                <w:szCs w:val="22"/>
                <w:highlight w:val="none"/>
              </w:rPr>
            </w:pPr>
          </w:p>
          <w:p w14:paraId="198E9D9F">
            <w:pPr>
              <w:pStyle w:val="6"/>
              <w:spacing w:before="72" w:line="222" w:lineRule="auto"/>
              <w:ind w:left="12"/>
              <w:rPr>
                <w:sz w:val="22"/>
                <w:szCs w:val="22"/>
                <w:highlight w:val="none"/>
              </w:rPr>
            </w:pPr>
            <w:r>
              <w:rPr>
                <w:rFonts w:hint="eastAsia"/>
                <w:spacing w:val="-5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spacing w:val="-5"/>
                <w:sz w:val="22"/>
                <w:szCs w:val="22"/>
                <w:highlight w:val="none"/>
              </w:rPr>
              <w:t>分</w:t>
            </w:r>
          </w:p>
        </w:tc>
        <w:tc>
          <w:tcPr>
            <w:tcW w:w="7349" w:type="dxa"/>
            <w:vAlign w:val="top"/>
          </w:tcPr>
          <w:p w14:paraId="4EFEBBD3">
            <w:pPr>
              <w:pStyle w:val="6"/>
              <w:spacing w:before="143" w:line="313" w:lineRule="auto"/>
              <w:ind w:left="11" w:right="36" w:hanging="1"/>
              <w:jc w:val="both"/>
              <w:rPr>
                <w:sz w:val="22"/>
                <w:szCs w:val="22"/>
                <w:highlight w:val="none"/>
              </w:rPr>
            </w:pPr>
            <w:r>
              <w:rPr>
                <w:spacing w:val="8"/>
                <w:sz w:val="22"/>
                <w:szCs w:val="22"/>
                <w:highlight w:val="none"/>
              </w:rPr>
              <w:t>提供</w:t>
            </w:r>
            <w:r>
              <w:rPr>
                <w:rFonts w:hint="eastAsia"/>
                <w:spacing w:val="8"/>
                <w:sz w:val="22"/>
                <w:szCs w:val="22"/>
                <w:highlight w:val="none"/>
                <w:lang w:eastAsia="zh-CN"/>
              </w:rPr>
              <w:t>投标人</w:t>
            </w:r>
            <w:r>
              <w:rPr>
                <w:spacing w:val="8"/>
                <w:sz w:val="22"/>
                <w:szCs w:val="22"/>
                <w:highlight w:val="none"/>
              </w:rPr>
              <w:t>近三年内已完成业绩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  <w:highlight w:val="none"/>
              </w:rPr>
              <w:t>,</w:t>
            </w:r>
            <w:r>
              <w:rPr>
                <w:spacing w:val="8"/>
                <w:sz w:val="22"/>
                <w:szCs w:val="22"/>
                <w:highlight w:val="none"/>
              </w:rPr>
              <w:t>每提供</w:t>
            </w:r>
            <w:r>
              <w:rPr>
                <w:spacing w:val="-21"/>
                <w:sz w:val="22"/>
                <w:szCs w:val="22"/>
                <w:highlight w:val="non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8"/>
                <w:sz w:val="22"/>
                <w:szCs w:val="22"/>
                <w:highlight w:val="none"/>
              </w:rPr>
              <w:t xml:space="preserve">1 </w:t>
            </w:r>
            <w:r>
              <w:rPr>
                <w:spacing w:val="8"/>
                <w:sz w:val="22"/>
                <w:szCs w:val="22"/>
                <w:highlight w:val="none"/>
              </w:rPr>
              <w:t>个有效业绩</w:t>
            </w:r>
            <w:r>
              <w:rPr>
                <w:spacing w:val="7"/>
                <w:sz w:val="22"/>
                <w:szCs w:val="22"/>
                <w:highlight w:val="none"/>
              </w:rPr>
              <w:t>的得</w:t>
            </w:r>
            <w:r>
              <w:rPr>
                <w:spacing w:val="-40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highlight w:val="none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  <w:highlight w:val="none"/>
              </w:rPr>
              <w:t xml:space="preserve">  </w:t>
            </w:r>
            <w:r>
              <w:rPr>
                <w:spacing w:val="7"/>
                <w:sz w:val="22"/>
                <w:szCs w:val="22"/>
                <w:highlight w:val="none"/>
              </w:rPr>
              <w:t>分</w:t>
            </w:r>
            <w:r>
              <w:rPr>
                <w:rFonts w:ascii="Times New Roman" w:hAnsi="Times New Roman" w:eastAsia="Times New Roman" w:cs="Times New Roman"/>
                <w:spacing w:val="7"/>
                <w:sz w:val="22"/>
                <w:szCs w:val="22"/>
                <w:highlight w:val="none"/>
              </w:rPr>
              <w:t>,</w:t>
            </w:r>
            <w:r>
              <w:rPr>
                <w:spacing w:val="7"/>
                <w:sz w:val="22"/>
                <w:szCs w:val="22"/>
                <w:highlight w:val="none"/>
              </w:rPr>
              <w:t>满分</w:t>
            </w:r>
            <w:r>
              <w:rPr>
                <w:spacing w:val="-33"/>
                <w:sz w:val="22"/>
                <w:szCs w:val="22"/>
                <w:highlight w:val="none"/>
              </w:rPr>
              <w:t xml:space="preserve"> </w:t>
            </w:r>
            <w:r>
              <w:rPr>
                <w:rFonts w:hint="eastAsia" w:ascii="Times New Roman" w:hAnsi="Times New Roman" w:cs="Times New Roman"/>
                <w:spacing w:val="7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spacing w:val="7"/>
                <w:sz w:val="22"/>
                <w:szCs w:val="22"/>
                <w:highlight w:val="none"/>
              </w:rPr>
              <w:t>分。</w:t>
            </w:r>
            <w:r>
              <w:rPr>
                <w:b/>
                <w:bCs/>
                <w:spacing w:val="7"/>
                <w:sz w:val="22"/>
                <w:szCs w:val="22"/>
                <w:highlight w:val="none"/>
              </w:rPr>
              <w:t>（提供</w:t>
            </w:r>
            <w:r>
              <w:rPr>
                <w:rFonts w:hint="eastAsia"/>
                <w:b/>
                <w:bCs/>
                <w:spacing w:val="7"/>
                <w:sz w:val="22"/>
                <w:szCs w:val="22"/>
                <w:highlight w:val="none"/>
              </w:rPr>
              <w:t>业绩合同及该合同配套环保、卫生部门环评预控评审批文件</w:t>
            </w:r>
            <w:r>
              <w:rPr>
                <w:b/>
                <w:bCs/>
                <w:spacing w:val="7"/>
                <w:sz w:val="22"/>
                <w:szCs w:val="22"/>
                <w:highlight w:val="none"/>
              </w:rPr>
              <w:t>加盖公章）</w:t>
            </w:r>
            <w:r>
              <w:rPr>
                <w:sz w:val="22"/>
                <w:szCs w:val="22"/>
                <w:highlight w:val="none"/>
              </w:rPr>
              <w:t xml:space="preserve"> </w:t>
            </w:r>
            <w:r>
              <w:rPr>
                <w:spacing w:val="-2"/>
                <w:sz w:val="22"/>
                <w:szCs w:val="22"/>
                <w:highlight w:val="none"/>
              </w:rPr>
              <w:t>不提供</w:t>
            </w:r>
            <w:r>
              <w:rPr>
                <w:rFonts w:hint="eastAsia"/>
                <w:spacing w:val="-2"/>
                <w:sz w:val="22"/>
                <w:szCs w:val="22"/>
                <w:highlight w:val="none"/>
                <w:lang w:eastAsia="zh-CN"/>
              </w:rPr>
              <w:t>或合同签订方非投标人</w:t>
            </w:r>
            <w:r>
              <w:rPr>
                <w:spacing w:val="-2"/>
                <w:sz w:val="22"/>
                <w:szCs w:val="22"/>
                <w:highlight w:val="none"/>
              </w:rPr>
              <w:t>不得分</w:t>
            </w:r>
          </w:p>
        </w:tc>
      </w:tr>
      <w:tr w14:paraId="53ED693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2" w:hRule="atLeast"/>
        </w:trPr>
        <w:tc>
          <w:tcPr>
            <w:tcW w:w="1506" w:type="dxa"/>
            <w:vAlign w:val="top"/>
          </w:tcPr>
          <w:p w14:paraId="2DA0367D">
            <w:pPr>
              <w:pStyle w:val="6"/>
              <w:spacing w:before="72" w:line="222" w:lineRule="auto"/>
              <w:ind w:left="8"/>
              <w:jc w:val="center"/>
              <w:rPr>
                <w:rFonts w:hint="eastAsia" w:eastAsia="宋体"/>
                <w:spacing w:val="-3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/>
                <w:spacing w:val="-3"/>
                <w:sz w:val="22"/>
                <w:szCs w:val="22"/>
                <w:highlight w:val="none"/>
                <w:lang w:eastAsia="zh-CN"/>
              </w:rPr>
              <w:t>售后保障</w:t>
            </w:r>
          </w:p>
        </w:tc>
        <w:tc>
          <w:tcPr>
            <w:tcW w:w="803" w:type="dxa"/>
            <w:vAlign w:val="top"/>
          </w:tcPr>
          <w:p w14:paraId="5AC65DAB">
            <w:pPr>
              <w:pStyle w:val="6"/>
              <w:spacing w:before="72" w:line="222" w:lineRule="auto"/>
              <w:ind w:left="12"/>
              <w:rPr>
                <w:rFonts w:hint="default"/>
                <w:spacing w:val="-5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pacing w:val="-5"/>
                <w:sz w:val="22"/>
                <w:szCs w:val="22"/>
                <w:highlight w:val="none"/>
                <w:lang w:val="en-US" w:eastAsia="zh-CN"/>
              </w:rPr>
              <w:t>10分</w:t>
            </w:r>
          </w:p>
        </w:tc>
        <w:tc>
          <w:tcPr>
            <w:tcW w:w="7349" w:type="dxa"/>
            <w:vAlign w:val="top"/>
          </w:tcPr>
          <w:p w14:paraId="10A828D2">
            <w:pPr>
              <w:pStyle w:val="6"/>
              <w:spacing w:before="143" w:line="313" w:lineRule="auto"/>
              <w:ind w:left="11" w:right="36" w:hanging="1"/>
              <w:jc w:val="both"/>
              <w:rPr>
                <w:rFonts w:hint="default" w:eastAsia="宋体"/>
                <w:spacing w:val="8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pacing w:val="8"/>
                <w:sz w:val="22"/>
                <w:szCs w:val="22"/>
                <w:highlight w:val="none"/>
                <w:lang w:eastAsia="zh-CN"/>
              </w:rPr>
              <w:t>提供</w:t>
            </w:r>
            <w:r>
              <w:rPr>
                <w:rFonts w:hint="eastAsia"/>
                <w:spacing w:val="8"/>
                <w:sz w:val="22"/>
                <w:szCs w:val="22"/>
                <w:highlight w:val="none"/>
                <w:lang w:val="en-US" w:eastAsia="zh-CN"/>
              </w:rPr>
              <w:t>3小时内现场服务得10分，每增加1小时减一分。（提供保障承诺函，如供应商未按承诺时间进行服务，采购人有权按照不超过合同金额10%标准拒付服务费），评审小组认为承诺函有歧义的有权要求投标人现场澄清（自通知澄清时起时间不超过30分钟），如澄清后仍有歧义或无法满足采购人需求的不得分。</w:t>
            </w:r>
          </w:p>
        </w:tc>
      </w:tr>
    </w:tbl>
    <w:p w14:paraId="7C04152D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三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磋商流程</w:t>
      </w:r>
    </w:p>
    <w:p w14:paraId="59CCCC7F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1.评审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小组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根据现场情况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，与各供应商进行磋商。磋商内容包括：报价、 技术要求、交货期、交货地点、要求提供的商务和技术相关文件、服务等。</w:t>
      </w:r>
    </w:p>
    <w:p w14:paraId="5149913D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.响应文件的澄清:对响应文件中含义不明确、同类问题表述不一致或者有明显文字和计算错误的内容，评审小组可以要求供应商作出必要的澄清、说明或者纠正；供应商的的澄清、 说明或者补正应当采用书面形式，由其授权的代表签字。</w:t>
      </w:r>
    </w:p>
    <w:p w14:paraId="3F905BA8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 xml:space="preserve">.评审小组根据供应商的响应内容及磋商情况，要求各供应商在规定时间内进行最后报价（该报价将作为评审推荐成交的依据），并由磋商供应商法人或被授权代表签署或加盖公章。 </w:t>
      </w:r>
    </w:p>
    <w:p w14:paraId="2699FC2E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.磋商供应商最终磋商总报价在货物数量没有增加、配置和服务没有重大提高的情况下， 不允许高于前一次报价。</w:t>
      </w:r>
    </w:p>
    <w:p w14:paraId="07ACF88F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.磋商过程中，评审小组应给予每个正在参加磋商的供应商相同的机会。被评审小组认定为未实质性响应要求的，不再进入下一轮磋商报价。</w:t>
      </w:r>
    </w:p>
    <w:p w14:paraId="11D54162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.磋商过程中，若遇到本磋商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办法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未有预见、或目前法律、法规未有规定的问题， 则由评审小组成员依据政府采购相关法律法规，集体商议决定。</w:t>
      </w:r>
    </w:p>
    <w:p w14:paraId="4C02CDDC">
      <w:pPr>
        <w:ind w:right="280"/>
        <w:jc w:val="left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  <w:t>.评审小组对磋商情况进行综合评议后，按照“评分标准”对提交最后报价的供应商的响应文件和最后报价进行综合评分，并编写评审报告。</w:t>
      </w:r>
    </w:p>
    <w:p w14:paraId="026D3F4E">
      <w:pPr>
        <w:ind w:right="280"/>
        <w:jc w:val="left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四、评分表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1782"/>
        <w:gridCol w:w="1913"/>
        <w:gridCol w:w="1913"/>
        <w:gridCol w:w="2176"/>
      </w:tblGrid>
      <w:tr w14:paraId="0EBA8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gridSpan w:val="2"/>
          </w:tcPr>
          <w:p w14:paraId="3B4B7F6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评分标准</w:t>
            </w:r>
          </w:p>
        </w:tc>
        <w:tc>
          <w:tcPr>
            <w:tcW w:w="1913" w:type="dxa"/>
          </w:tcPr>
          <w:p w14:paraId="7925BF4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供应商名称1</w:t>
            </w:r>
          </w:p>
        </w:tc>
        <w:tc>
          <w:tcPr>
            <w:tcW w:w="1913" w:type="dxa"/>
          </w:tcPr>
          <w:p w14:paraId="1F57B06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供应商名称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2176" w:type="dxa"/>
          </w:tcPr>
          <w:p w14:paraId="7D3B5BC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······</w:t>
            </w:r>
          </w:p>
        </w:tc>
      </w:tr>
      <w:tr w14:paraId="03266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gridSpan w:val="2"/>
          </w:tcPr>
          <w:p w14:paraId="28EF83D4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投标报价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30分</w:t>
            </w:r>
          </w:p>
        </w:tc>
        <w:tc>
          <w:tcPr>
            <w:tcW w:w="1913" w:type="dxa"/>
          </w:tcPr>
          <w:p w14:paraId="1824AB89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 w14:paraId="0302D02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2DF11C91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03E4F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restart"/>
            <w:vAlign w:val="center"/>
          </w:tcPr>
          <w:p w14:paraId="4E418EA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服务适用性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50分</w:t>
            </w:r>
          </w:p>
        </w:tc>
        <w:tc>
          <w:tcPr>
            <w:tcW w:w="1782" w:type="dxa"/>
          </w:tcPr>
          <w:p w14:paraId="2DEB129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服务人员专业性（1-15分）</w:t>
            </w:r>
          </w:p>
        </w:tc>
        <w:tc>
          <w:tcPr>
            <w:tcW w:w="1913" w:type="dxa"/>
          </w:tcPr>
          <w:p w14:paraId="45540962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 w14:paraId="46D3FEB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20EE65A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0182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vMerge w:val="continue"/>
          </w:tcPr>
          <w:p w14:paraId="416BACF3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2" w:type="dxa"/>
          </w:tcPr>
          <w:p w14:paraId="1EC5D486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技术服务方案合理性(1-35分）</w:t>
            </w:r>
          </w:p>
        </w:tc>
        <w:tc>
          <w:tcPr>
            <w:tcW w:w="1913" w:type="dxa"/>
          </w:tcPr>
          <w:p w14:paraId="7DE04D3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 w14:paraId="3BCE71E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179C05F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991A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gridSpan w:val="2"/>
          </w:tcPr>
          <w:p w14:paraId="6308002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业绩10分</w:t>
            </w:r>
          </w:p>
        </w:tc>
        <w:tc>
          <w:tcPr>
            <w:tcW w:w="1913" w:type="dxa"/>
          </w:tcPr>
          <w:p w14:paraId="2D1ECBC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 w14:paraId="669491FD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37042F6C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7317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3852" w:type="dxa"/>
            <w:gridSpan w:val="2"/>
          </w:tcPr>
          <w:p w14:paraId="4EB0576B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售后保障10分</w:t>
            </w:r>
          </w:p>
        </w:tc>
        <w:tc>
          <w:tcPr>
            <w:tcW w:w="1913" w:type="dxa"/>
          </w:tcPr>
          <w:p w14:paraId="7D79EAFF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 w14:paraId="6158B0BA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2F85A705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  <w:tr w14:paraId="40FB1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gridSpan w:val="2"/>
          </w:tcPr>
          <w:p w14:paraId="0C124497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  <w:t>总分</w:t>
            </w:r>
          </w:p>
        </w:tc>
        <w:tc>
          <w:tcPr>
            <w:tcW w:w="1913" w:type="dxa"/>
          </w:tcPr>
          <w:p w14:paraId="0418A7B8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13" w:type="dxa"/>
          </w:tcPr>
          <w:p w14:paraId="6CB63E4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76" w:type="dxa"/>
          </w:tcPr>
          <w:p w14:paraId="7ED5CBB0">
            <w:pPr>
              <w:ind w:right="28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</w:tr>
    </w:tbl>
    <w:p w14:paraId="5698278D">
      <w:pPr>
        <w:rPr>
          <w:b/>
          <w:bCs/>
        </w:rPr>
      </w:pPr>
    </w:p>
    <w:sectPr>
      <w:headerReference r:id="rId3" w:type="default"/>
      <w:pgSz w:w="11906" w:h="16838"/>
      <w:pgMar w:top="1134" w:right="1134" w:bottom="1134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C47A5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F5392"/>
    <w:rsid w:val="425A03C6"/>
    <w:rsid w:val="487F5392"/>
    <w:rsid w:val="734E3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0"/>
      <w:szCs w:val="30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1526</Words>
  <Characters>1587</Characters>
  <Lines>0</Lines>
  <Paragraphs>0</Paragraphs>
  <TotalTime>1</TotalTime>
  <ScaleCrop>false</ScaleCrop>
  <LinksUpToDate>false</LinksUpToDate>
  <CharactersWithSpaces>1645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2024-12-11T11:42:00Z</dcterms:created>
  <dc:creator>babyjie</dc:creator>
  <cp:lastModifiedBy>babyjie</cp:lastModifiedBy>
  <dcterms:modified xsi:type="dcterms:W3CDTF">2025-03-17T09:36:09Z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780E8A8AE56A420CB62B51B3B510C513_11</vt:lpwstr>
  </property>
  <property fmtid="{D5CDD505-2E9C-101B-9397-08002B2CF9AE}" pid="4" name="KSOTemplateDocerSaveRecord">
    <vt:lpwstr>eyJoZGlkIjoiNGU5MGZhYTI1NWE2NTc3Mjc1OGUyZTI4ZGIyZjI0NzQiLCJ1c2VySWQiOiIzMTQyMTc2MDUifQ==</vt:lpwstr>
  </property>
</Properties>
</file>