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80"/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遵义市第一人民医院竞争性磋商办法</w:t>
      </w:r>
    </w:p>
    <w:p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根据我院桃溪院区建设需求及竞争性磋商管理办法，特制定本次磋商流程，请各潜在供应商按要求准备资料并参与。</w:t>
      </w:r>
    </w:p>
    <w:p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一、响应文件组成响应要求</w:t>
      </w:r>
    </w:p>
    <w:p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1.有效期内的营业执照（加盖鲜章）；</w:t>
      </w:r>
    </w:p>
    <w:p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2.具有法人签字并盖公司鲜章的授权委托书，法人到场的需准备法人身份证原件；</w:t>
      </w:r>
    </w:p>
    <w:p>
      <w:pPr>
        <w:ind w:right="28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3.产品技术资料六份（一正五副），含产品参数、型号等产品信息（加盖鲜章）；</w:t>
      </w:r>
    </w:p>
    <w:p>
      <w:pPr>
        <w:ind w:right="28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4.产品资料彩页，包含产品整体图片；</w:t>
      </w:r>
    </w:p>
    <w:p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5.报价函</w:t>
      </w:r>
    </w:p>
    <w:p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二、评分标准</w:t>
      </w:r>
    </w:p>
    <w:p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</w:t>
      </w:r>
    </w:p>
    <w:tbl>
      <w:tblPr>
        <w:tblStyle w:val="7"/>
        <w:tblW w:w="9658" w:type="dxa"/>
        <w:tblInd w:w="-13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6"/>
        <w:gridCol w:w="803"/>
        <w:gridCol w:w="73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506" w:type="dxa"/>
            <w:vAlign w:val="top"/>
          </w:tcPr>
          <w:p>
            <w:pPr>
              <w:pStyle w:val="6"/>
              <w:spacing w:before="146" w:line="301" w:lineRule="auto"/>
              <w:ind w:left="289" w:right="71" w:hanging="214"/>
              <w:rPr>
                <w:sz w:val="22"/>
                <w:szCs w:val="22"/>
              </w:rPr>
            </w:pPr>
            <w:r>
              <w:rPr>
                <w:b/>
                <w:bCs/>
                <w:spacing w:val="5"/>
                <w:sz w:val="22"/>
                <w:szCs w:val="22"/>
              </w:rPr>
              <w:t>评分内</w:t>
            </w:r>
            <w:r>
              <w:rPr>
                <w:b/>
                <w:bCs/>
                <w:spacing w:val="-3"/>
                <w:sz w:val="22"/>
                <w:szCs w:val="22"/>
              </w:rPr>
              <w:t>容</w:t>
            </w:r>
          </w:p>
        </w:tc>
        <w:tc>
          <w:tcPr>
            <w:tcW w:w="803" w:type="dxa"/>
            <w:vAlign w:val="top"/>
          </w:tcPr>
          <w:p>
            <w:pPr>
              <w:spacing w:line="279" w:lineRule="auto"/>
              <w:rPr>
                <w:rFonts w:ascii="Arial"/>
                <w:sz w:val="22"/>
                <w:szCs w:val="22"/>
              </w:rPr>
            </w:pPr>
          </w:p>
          <w:p>
            <w:pPr>
              <w:pStyle w:val="6"/>
              <w:spacing w:before="65" w:line="228" w:lineRule="auto"/>
              <w:ind w:left="183"/>
              <w:rPr>
                <w:sz w:val="22"/>
                <w:szCs w:val="22"/>
              </w:rPr>
            </w:pPr>
            <w:r>
              <w:rPr>
                <w:b/>
                <w:bCs/>
                <w:spacing w:val="2"/>
                <w:sz w:val="22"/>
                <w:szCs w:val="22"/>
              </w:rPr>
              <w:t>分值</w:t>
            </w:r>
          </w:p>
        </w:tc>
        <w:tc>
          <w:tcPr>
            <w:tcW w:w="7349" w:type="dxa"/>
            <w:vAlign w:val="top"/>
          </w:tcPr>
          <w:p>
            <w:pPr>
              <w:spacing w:line="279" w:lineRule="auto"/>
              <w:rPr>
                <w:rFonts w:ascii="Arial"/>
                <w:sz w:val="22"/>
                <w:szCs w:val="22"/>
              </w:rPr>
            </w:pPr>
          </w:p>
          <w:p>
            <w:pPr>
              <w:pStyle w:val="6"/>
              <w:spacing w:before="65" w:line="229" w:lineRule="auto"/>
              <w:ind w:left="2884"/>
              <w:rPr>
                <w:sz w:val="22"/>
                <w:szCs w:val="22"/>
              </w:rPr>
            </w:pPr>
            <w:r>
              <w:rPr>
                <w:b/>
                <w:bCs/>
                <w:spacing w:val="6"/>
                <w:sz w:val="22"/>
                <w:szCs w:val="22"/>
              </w:rPr>
              <w:t>评分标准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1506" w:type="dxa"/>
            <w:vAlign w:val="center"/>
          </w:tcPr>
          <w:p>
            <w:pPr>
              <w:spacing w:line="246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spacing w:line="247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pStyle w:val="6"/>
              <w:spacing w:before="72" w:line="322" w:lineRule="auto"/>
              <w:ind w:left="10" w:right="110" w:firstLine="1"/>
              <w:jc w:val="center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投标报</w:t>
            </w:r>
            <w:r>
              <w:rPr>
                <w:sz w:val="22"/>
                <w:szCs w:val="22"/>
              </w:rPr>
              <w:t>价</w:t>
            </w:r>
          </w:p>
        </w:tc>
        <w:tc>
          <w:tcPr>
            <w:tcW w:w="803" w:type="dxa"/>
            <w:vAlign w:val="center"/>
          </w:tcPr>
          <w:p>
            <w:pPr>
              <w:spacing w:line="241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spacing w:line="241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pStyle w:val="6"/>
              <w:spacing w:before="72" w:line="222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-5"/>
                <w:sz w:val="22"/>
                <w:szCs w:val="22"/>
                <w:lang w:val="en-US" w:eastAsia="zh-CN"/>
              </w:rPr>
              <w:t>30</w:t>
            </w:r>
            <w:r>
              <w:rPr>
                <w:spacing w:val="-5"/>
                <w:sz w:val="22"/>
                <w:szCs w:val="22"/>
              </w:rPr>
              <w:t>分</w:t>
            </w:r>
          </w:p>
        </w:tc>
        <w:tc>
          <w:tcPr>
            <w:tcW w:w="7349" w:type="dxa"/>
            <w:vAlign w:val="center"/>
          </w:tcPr>
          <w:p>
            <w:pPr>
              <w:pStyle w:val="6"/>
              <w:spacing w:before="33" w:line="361" w:lineRule="auto"/>
              <w:ind w:left="9" w:right="2" w:hanging="1"/>
              <w:jc w:val="both"/>
              <w:rPr>
                <w:sz w:val="22"/>
                <w:szCs w:val="22"/>
              </w:rPr>
            </w:pPr>
            <w:r>
              <w:rPr>
                <w:spacing w:val="11"/>
                <w:sz w:val="22"/>
                <w:szCs w:val="22"/>
              </w:rPr>
              <w:t>投标报价得分</w:t>
            </w:r>
            <w:r>
              <w:rPr>
                <w:rFonts w:ascii="Times New Roman" w:hAnsi="Times New Roman" w:eastAsia="Times New Roman" w:cs="Times New Roman"/>
                <w:spacing w:val="11"/>
                <w:sz w:val="22"/>
                <w:szCs w:val="22"/>
              </w:rPr>
              <w:t>=(</w:t>
            </w:r>
            <w:r>
              <w:rPr>
                <w:spacing w:val="11"/>
                <w:sz w:val="22"/>
                <w:szCs w:val="22"/>
              </w:rPr>
              <w:t>评标基准价／投标报价</w:t>
            </w:r>
            <w:r>
              <w:rPr>
                <w:rFonts w:ascii="Times New Roman" w:hAnsi="Times New Roman" w:eastAsia="Times New Roman" w:cs="Times New Roman"/>
                <w:spacing w:val="11"/>
                <w:sz w:val="22"/>
                <w:szCs w:val="22"/>
              </w:rPr>
              <w:t>)×</w:t>
            </w:r>
            <w:r>
              <w:rPr>
                <w:spacing w:val="11"/>
                <w:sz w:val="22"/>
                <w:szCs w:val="22"/>
              </w:rPr>
              <w:t>价格权值（</w:t>
            </w:r>
            <w:r>
              <w:rPr>
                <w:rFonts w:hint="eastAsia" w:ascii="Times New Roman" w:hAnsi="Times New Roman" w:eastAsia="宋体" w:cs="Times New Roman"/>
                <w:spacing w:val="11"/>
                <w:sz w:val="22"/>
                <w:szCs w:val="22"/>
                <w:lang w:val="en-US"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1"/>
                <w:sz w:val="22"/>
                <w:szCs w:val="22"/>
              </w:rPr>
              <w:t>0%</w:t>
            </w:r>
            <w:r>
              <w:rPr>
                <w:spacing w:val="11"/>
                <w:sz w:val="22"/>
                <w:szCs w:val="22"/>
              </w:rPr>
              <w:t>）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  <w:sz w:val="22"/>
                <w:szCs w:val="22"/>
              </w:rPr>
              <w:t>×100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（四舍五入后保留小数点后两位）。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1" w:hRule="atLeast"/>
        </w:trPr>
        <w:tc>
          <w:tcPr>
            <w:tcW w:w="1506" w:type="dxa"/>
            <w:vAlign w:val="center"/>
          </w:tcPr>
          <w:p>
            <w:pPr>
              <w:spacing w:line="259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spacing w:line="259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spacing w:line="259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spacing w:line="259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pStyle w:val="6"/>
              <w:spacing w:before="71" w:line="327" w:lineRule="auto"/>
              <w:ind w:left="7" w:right="110" w:firstLine="2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产品适用性</w:t>
            </w:r>
          </w:p>
        </w:tc>
        <w:tc>
          <w:tcPr>
            <w:tcW w:w="803" w:type="dxa"/>
            <w:vAlign w:val="center"/>
          </w:tcPr>
          <w:p>
            <w:pPr>
              <w:spacing w:line="286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spacing w:line="286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spacing w:line="287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spacing w:line="287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spacing w:line="287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pStyle w:val="6"/>
              <w:spacing w:before="71" w:line="222" w:lineRule="auto"/>
              <w:ind w:left="1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-5"/>
                <w:sz w:val="22"/>
                <w:szCs w:val="22"/>
                <w:lang w:val="en-US" w:eastAsia="zh-CN"/>
              </w:rPr>
              <w:t>5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分</w:t>
            </w:r>
          </w:p>
        </w:tc>
        <w:tc>
          <w:tcPr>
            <w:tcW w:w="7349" w:type="dxa"/>
            <w:vAlign w:val="center"/>
          </w:tcPr>
          <w:p>
            <w:pPr>
              <w:pStyle w:val="6"/>
              <w:spacing w:before="34" w:line="228" w:lineRule="auto"/>
              <w:ind w:left="9"/>
              <w:jc w:val="both"/>
              <w:rPr>
                <w:spacing w:val="8"/>
                <w:sz w:val="22"/>
                <w:szCs w:val="22"/>
              </w:rPr>
            </w:pP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评审小组根据潜在供应商提供产品进行适用性评审</w:t>
            </w:r>
            <w:r>
              <w:rPr>
                <w:spacing w:val="8"/>
                <w:sz w:val="22"/>
                <w:szCs w:val="22"/>
              </w:rPr>
              <w:t>：</w:t>
            </w:r>
          </w:p>
          <w:p>
            <w:pPr>
              <w:pStyle w:val="6"/>
              <w:spacing w:before="34" w:line="228" w:lineRule="auto"/>
              <w:ind w:left="9"/>
              <w:jc w:val="both"/>
              <w:rPr>
                <w:rFonts w:hint="eastAsia"/>
                <w:spacing w:val="8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产品材质（</w:t>
            </w:r>
            <w:r>
              <w:rPr>
                <w:rFonts w:hint="eastAsia"/>
                <w:spacing w:val="8"/>
                <w:sz w:val="22"/>
                <w:szCs w:val="22"/>
                <w:lang w:val="en-US" w:eastAsia="zh-CN"/>
              </w:rPr>
              <w:t>1-15分</w:t>
            </w: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）：根据潜在供应商提供样品进行拼比，提供样品应能展示产品整体材质特点，评审小组根据样品材质是否符合临床使用要求程度进行打分；</w:t>
            </w:r>
          </w:p>
          <w:p>
            <w:pPr>
              <w:pStyle w:val="6"/>
              <w:spacing w:before="34" w:line="228" w:lineRule="auto"/>
              <w:ind w:left="9"/>
              <w:jc w:val="both"/>
              <w:rPr>
                <w:rFonts w:hint="eastAsia"/>
                <w:spacing w:val="8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产品安全性（</w:t>
            </w:r>
            <w:r>
              <w:rPr>
                <w:rFonts w:hint="eastAsia"/>
                <w:spacing w:val="8"/>
                <w:sz w:val="22"/>
                <w:szCs w:val="22"/>
                <w:lang w:val="en-US" w:eastAsia="zh-CN"/>
              </w:rPr>
              <w:t>1-15分）</w:t>
            </w: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：评审小组根据样品或产品彩页，根据产品对保障患者安全及操作人员安全特点进行打分；</w:t>
            </w:r>
          </w:p>
          <w:p>
            <w:pPr>
              <w:pStyle w:val="6"/>
              <w:spacing w:before="34" w:line="228" w:lineRule="auto"/>
              <w:ind w:left="9"/>
              <w:jc w:val="both"/>
              <w:rPr>
                <w:rFonts w:hint="eastAsia"/>
                <w:spacing w:val="8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产品适用性（</w:t>
            </w:r>
            <w:r>
              <w:rPr>
                <w:rFonts w:hint="eastAsia"/>
                <w:spacing w:val="8"/>
                <w:sz w:val="22"/>
                <w:szCs w:val="22"/>
                <w:lang w:val="en-US" w:eastAsia="zh-CN"/>
              </w:rPr>
              <w:t>1-20分</w:t>
            </w: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）：评审小组根据样品或产品彩页，结合临床使用具体情况，对产品规格满足安装场地条件、产品使用是否满足临床需要打分；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1506" w:type="dxa"/>
            <w:vAlign w:val="center"/>
          </w:tcPr>
          <w:p>
            <w:pPr>
              <w:spacing w:line="460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pStyle w:val="6"/>
              <w:spacing w:before="72" w:line="222" w:lineRule="auto"/>
              <w:ind w:left="8"/>
              <w:jc w:val="center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业绩</w:t>
            </w:r>
          </w:p>
        </w:tc>
        <w:tc>
          <w:tcPr>
            <w:tcW w:w="803" w:type="dxa"/>
            <w:vAlign w:val="center"/>
          </w:tcPr>
          <w:p>
            <w:pPr>
              <w:spacing w:line="460" w:lineRule="auto"/>
              <w:jc w:val="center"/>
              <w:rPr>
                <w:rFonts w:ascii="Arial"/>
                <w:sz w:val="22"/>
                <w:szCs w:val="22"/>
              </w:rPr>
            </w:pPr>
          </w:p>
          <w:p>
            <w:pPr>
              <w:pStyle w:val="6"/>
              <w:spacing w:before="72" w:line="222" w:lineRule="auto"/>
              <w:ind w:left="1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-5"/>
                <w:sz w:val="22"/>
                <w:szCs w:val="22"/>
                <w:lang w:val="en-US" w:eastAsia="zh-CN"/>
              </w:rPr>
              <w:t>10</w:t>
            </w:r>
            <w:r>
              <w:rPr>
                <w:spacing w:val="-5"/>
                <w:sz w:val="22"/>
                <w:szCs w:val="22"/>
              </w:rPr>
              <w:t>分</w:t>
            </w:r>
          </w:p>
        </w:tc>
        <w:tc>
          <w:tcPr>
            <w:tcW w:w="7349" w:type="dxa"/>
            <w:vAlign w:val="center"/>
          </w:tcPr>
          <w:p>
            <w:pPr>
              <w:pStyle w:val="6"/>
              <w:spacing w:before="143" w:line="313" w:lineRule="auto"/>
              <w:ind w:left="11" w:right="36" w:hanging="1"/>
              <w:jc w:val="both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提供近三年内已完成销售业绩</w:t>
            </w:r>
            <w:r>
              <w:rPr>
                <w:rFonts w:ascii="Times New Roman" w:hAnsi="Times New Roman" w:eastAsia="Times New Roman" w:cs="Times New Roman"/>
                <w:spacing w:val="8"/>
                <w:sz w:val="22"/>
                <w:szCs w:val="22"/>
              </w:rPr>
              <w:t>,</w:t>
            </w:r>
            <w:r>
              <w:rPr>
                <w:spacing w:val="8"/>
                <w:sz w:val="22"/>
                <w:szCs w:val="22"/>
              </w:rPr>
              <w:t>每提供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  <w:sz w:val="22"/>
                <w:szCs w:val="22"/>
              </w:rPr>
              <w:t>1</w:t>
            </w:r>
            <w:r>
              <w:rPr>
                <w:spacing w:val="8"/>
                <w:sz w:val="22"/>
                <w:szCs w:val="22"/>
              </w:rPr>
              <w:t>个有效业绩</w:t>
            </w:r>
            <w:r>
              <w:rPr>
                <w:spacing w:val="7"/>
                <w:sz w:val="22"/>
                <w:szCs w:val="22"/>
              </w:rPr>
              <w:t>的得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7"/>
                <w:sz w:val="22"/>
                <w:szCs w:val="22"/>
                <w:lang w:val="en-US" w:eastAsia="zh-CN"/>
              </w:rPr>
              <w:t>5</w:t>
            </w:r>
            <w:r>
              <w:rPr>
                <w:spacing w:val="7"/>
                <w:sz w:val="22"/>
                <w:szCs w:val="22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7"/>
                <w:sz w:val="22"/>
                <w:szCs w:val="22"/>
              </w:rPr>
              <w:t>,</w:t>
            </w:r>
            <w:r>
              <w:rPr>
                <w:spacing w:val="7"/>
                <w:sz w:val="22"/>
                <w:szCs w:val="22"/>
              </w:rPr>
              <w:t>满分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7"/>
                <w:sz w:val="22"/>
                <w:szCs w:val="22"/>
                <w:lang w:val="en-US" w:eastAsia="zh-CN"/>
              </w:rPr>
              <w:t>10</w:t>
            </w:r>
            <w:r>
              <w:rPr>
                <w:spacing w:val="7"/>
                <w:sz w:val="22"/>
                <w:szCs w:val="22"/>
              </w:rPr>
              <w:t>分。</w:t>
            </w:r>
            <w:r>
              <w:rPr>
                <w:b/>
                <w:bCs/>
                <w:spacing w:val="7"/>
                <w:sz w:val="22"/>
                <w:szCs w:val="22"/>
              </w:rPr>
              <w:t>（提供中标通知书或签约合同复印件或扫描件加盖公章）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不提供不得分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1506" w:type="dxa"/>
            <w:vAlign w:val="center"/>
          </w:tcPr>
          <w:p>
            <w:pPr>
              <w:pStyle w:val="6"/>
              <w:spacing w:before="72" w:line="222" w:lineRule="auto"/>
              <w:ind w:left="8"/>
              <w:jc w:val="center"/>
              <w:rPr>
                <w:rFonts w:hint="eastAsia" w:eastAsia="宋体"/>
                <w:spacing w:val="-3"/>
                <w:sz w:val="22"/>
                <w:szCs w:val="22"/>
                <w:lang w:eastAsia="zh-CN"/>
              </w:rPr>
            </w:pPr>
            <w:r>
              <w:rPr>
                <w:rFonts w:hint="eastAsia"/>
                <w:spacing w:val="-3"/>
                <w:sz w:val="22"/>
                <w:szCs w:val="22"/>
                <w:lang w:eastAsia="zh-CN"/>
              </w:rPr>
              <w:t>售后保障</w:t>
            </w:r>
          </w:p>
        </w:tc>
        <w:tc>
          <w:tcPr>
            <w:tcW w:w="803" w:type="dxa"/>
            <w:vAlign w:val="center"/>
          </w:tcPr>
          <w:p>
            <w:pPr>
              <w:pStyle w:val="6"/>
              <w:spacing w:before="72" w:line="222" w:lineRule="auto"/>
              <w:ind w:left="12"/>
              <w:jc w:val="center"/>
              <w:rPr>
                <w:rFonts w:hint="default"/>
                <w:spacing w:val="-5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-5"/>
                <w:sz w:val="22"/>
                <w:szCs w:val="22"/>
                <w:lang w:val="en-US" w:eastAsia="zh-CN"/>
              </w:rPr>
              <w:t>10分</w:t>
            </w:r>
          </w:p>
        </w:tc>
        <w:tc>
          <w:tcPr>
            <w:tcW w:w="7349" w:type="dxa"/>
            <w:vAlign w:val="center"/>
          </w:tcPr>
          <w:p>
            <w:pPr>
              <w:pStyle w:val="6"/>
              <w:spacing w:before="143" w:line="313" w:lineRule="auto"/>
              <w:ind w:left="11" w:right="36" w:hanging="1"/>
              <w:jc w:val="both"/>
              <w:rPr>
                <w:rFonts w:hint="default" w:eastAsia="宋体"/>
                <w:spacing w:val="8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pacing w:val="8"/>
                <w:sz w:val="22"/>
                <w:szCs w:val="22"/>
                <w:lang w:eastAsia="zh-CN"/>
              </w:rPr>
              <w:t>提供</w:t>
            </w:r>
            <w:r>
              <w:rPr>
                <w:rFonts w:hint="eastAsia"/>
                <w:spacing w:val="8"/>
                <w:sz w:val="22"/>
                <w:szCs w:val="22"/>
                <w:lang w:val="en-US" w:eastAsia="zh-CN"/>
              </w:rPr>
              <w:t>3小时内到场维修服务得10分，每增加1小时减一分。（提供售后保障承诺函，如供应商未按承诺时间进行服务，采购人有权按照不超过合同金额10%标准拒付货款）</w:t>
            </w:r>
          </w:p>
        </w:tc>
      </w:tr>
    </w:tbl>
    <w:p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三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磋商流程</w:t>
      </w:r>
    </w:p>
    <w:p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1.评审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小组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根据现场情况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，与各供应商进行磋商。磋商内容包括：报价、 技术要求、交货期、交货地点、要求提供的商务和技术相关文件、服务等。</w:t>
      </w:r>
    </w:p>
    <w:p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.响应文件的澄清:对响应文件中含义不明确、同类问题表述不一致或者有明显文字和计算错误的内容，评审小组可以要求供应商作出必要的澄清、说明或者纠正；供应商的的澄清、 说明或者补正应当采用书面形式，由其授权的代表签字。</w:t>
      </w:r>
    </w:p>
    <w:p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 xml:space="preserve">.评审小组根据供应商的响应内容及磋商情况，要求各供应商在规定时间内进行最后报价（该报价将作为评审推荐成交的依据），并由磋商供应商法人或被授权代表签署或加盖公章。 </w:t>
      </w:r>
    </w:p>
    <w:p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.磋商供应商最终磋商总报价在货物数量没有增加、配置和服务没有重大提高的情况下， 不允许高于前一次报价。</w:t>
      </w:r>
    </w:p>
    <w:p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.磋商过程中，评审小组应给予每个正在参加磋商的供应商相同的机会。被评审小组认定为未实质性响应要求的，不再进入下一轮磋商报价。</w:t>
      </w:r>
    </w:p>
    <w:p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7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.磋商过程中，若遇到本磋商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办法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未有预见、或目前法律、法规未有规定的问题， 则由评审小组成员依据政府采购相关法律法规，集体商议决定。</w:t>
      </w:r>
    </w:p>
    <w:p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8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.评审小组对磋商情况进行综合评议后，按照“评分标准”对提交最后报价的供应商的响应文件和最后报价进行综合评分，并编写评审报告。</w:t>
      </w:r>
    </w:p>
    <w:p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四、评分表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1805"/>
        <w:gridCol w:w="1971"/>
        <w:gridCol w:w="1971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  <w:gridSpan w:val="2"/>
          </w:tcPr>
          <w:p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1971" w:type="dxa"/>
          </w:tcPr>
          <w:p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供应商名称1</w:t>
            </w:r>
          </w:p>
        </w:tc>
        <w:tc>
          <w:tcPr>
            <w:tcW w:w="1971" w:type="dxa"/>
          </w:tcPr>
          <w:p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供应商名称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971" w:type="dxa"/>
          </w:tcPr>
          <w:p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······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  <w:gridSpan w:val="2"/>
          </w:tcPr>
          <w:p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投标报价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30分</w:t>
            </w:r>
          </w:p>
        </w:tc>
        <w:tc>
          <w:tcPr>
            <w:tcW w:w="1971" w:type="dxa"/>
          </w:tcPr>
          <w:p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vMerge w:val="restart"/>
            <w:vAlign w:val="center"/>
          </w:tcPr>
          <w:p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产品适用性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50分</w:t>
            </w:r>
          </w:p>
        </w:tc>
        <w:tc>
          <w:tcPr>
            <w:tcW w:w="1805" w:type="dxa"/>
          </w:tcPr>
          <w:p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产品材质（1-1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分）</w:t>
            </w:r>
          </w:p>
        </w:tc>
        <w:tc>
          <w:tcPr>
            <w:tcW w:w="1971" w:type="dxa"/>
          </w:tcPr>
          <w:p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vMerge w:val="continue"/>
          </w:tcPr>
          <w:p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5" w:type="dxa"/>
          </w:tcPr>
          <w:p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产品安全性（1-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15</w:t>
            </w: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分）</w:t>
            </w:r>
          </w:p>
        </w:tc>
        <w:tc>
          <w:tcPr>
            <w:tcW w:w="1971" w:type="dxa"/>
          </w:tcPr>
          <w:p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  <w:vMerge w:val="continue"/>
          </w:tcPr>
          <w:p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5" w:type="dxa"/>
          </w:tcPr>
          <w:p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产品适用性（1-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20</w:t>
            </w: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分）</w:t>
            </w:r>
          </w:p>
        </w:tc>
        <w:tc>
          <w:tcPr>
            <w:tcW w:w="1971" w:type="dxa"/>
          </w:tcPr>
          <w:p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  <w:gridSpan w:val="2"/>
          </w:tcPr>
          <w:p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业绩10分</w:t>
            </w:r>
          </w:p>
        </w:tc>
        <w:tc>
          <w:tcPr>
            <w:tcW w:w="1971" w:type="dxa"/>
          </w:tcPr>
          <w:p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  <w:gridSpan w:val="2"/>
          </w:tcPr>
          <w:p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售后保障10分</w:t>
            </w:r>
            <w:bookmarkStart w:id="0" w:name="_GoBack"/>
            <w:bookmarkEnd w:id="0"/>
          </w:p>
        </w:tc>
        <w:tc>
          <w:tcPr>
            <w:tcW w:w="1971" w:type="dxa"/>
          </w:tcPr>
          <w:p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1" w:type="dxa"/>
            <w:gridSpan w:val="2"/>
          </w:tcPr>
          <w:p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总分</w:t>
            </w:r>
          </w:p>
        </w:tc>
        <w:tc>
          <w:tcPr>
            <w:tcW w:w="1971" w:type="dxa"/>
          </w:tcPr>
          <w:p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1" w:type="dxa"/>
          </w:tcPr>
          <w:p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</w:p>
    <w:p/>
    <w:p/>
    <w:p/>
    <w:p/>
    <w:p/>
    <w:p/>
    <w:p/>
    <w:p>
      <w:pPr>
        <w:rPr>
          <w:rFonts w:hint="eastAsia" w:eastAsia="宋体"/>
          <w:lang w:eastAsia="zh-CN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ZmQzMzhjZDRkM2U1YWFlN2E1MzY2ZjNhZjBmM2EifQ=="/>
  </w:docVars>
  <w:rsids>
    <w:rsidRoot w:val="6C4A05C8"/>
    <w:rsid w:val="025D0CA3"/>
    <w:rsid w:val="03022C2D"/>
    <w:rsid w:val="095D7093"/>
    <w:rsid w:val="0CBB4481"/>
    <w:rsid w:val="13EB1E14"/>
    <w:rsid w:val="168409E6"/>
    <w:rsid w:val="259F30FB"/>
    <w:rsid w:val="2C6170A5"/>
    <w:rsid w:val="317576D6"/>
    <w:rsid w:val="31AA7C0B"/>
    <w:rsid w:val="3A865F28"/>
    <w:rsid w:val="597C6038"/>
    <w:rsid w:val="6C4A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1223</Words>
  <Characters>1272</Characters>
  <Lines>0</Lines>
  <Paragraphs>0</Paragraphs>
  <TotalTime>15</TotalTime>
  <ScaleCrop>false</ScaleCrop>
  <LinksUpToDate>false</LinksUpToDate>
  <CharactersWithSpaces>1326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2024-12-05T11:38:00Z</dcterms:created>
  <dc:creator>babyjie</dc:creator>
  <cp:lastModifiedBy>luo</cp:lastModifiedBy>
  <dcterms:modified xsi:type="dcterms:W3CDTF">2025-03-06T04:16:50Z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2716090B7B804EE1BD23EF0BCE9558AC_11</vt:lpwstr>
  </property>
  <property fmtid="{D5CDD505-2E9C-101B-9397-08002B2CF9AE}" pid="4" name="KSOTemplateDocerSaveRecord">
    <vt:lpwstr>eyJoZGlkIjoiNGU5MGZhYTI1NWE2NTc3Mjc1OGUyZTI4ZGIyZjI0NzQiLCJ1c2VySWQiOiIzMTQyMTc2MDUifQ==</vt:lpwstr>
  </property>
</Properties>
</file>