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788F7">
      <w:pPr>
        <w:numPr>
          <w:ilvl w:val="0"/>
          <w:numId w:val="0"/>
        </w:numPr>
        <w:spacing w:line="360" w:lineRule="auto"/>
        <w:jc w:val="center"/>
        <w:rPr>
          <w:rFonts w:hint="default" w:ascii="华文中宋" w:hAnsi="华文中宋" w:eastAsia="华文中宋" w:cs="华文中宋"/>
          <w:b/>
          <w:bCs/>
          <w:color w:val="auto"/>
          <w:sz w:val="28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28"/>
          <w:szCs w:val="36"/>
          <w:lang w:val="en-US" w:eastAsia="zh-CN"/>
        </w:rPr>
        <w:t>超声及电治疗仪产品参数</w:t>
      </w:r>
    </w:p>
    <w:p w14:paraId="3F9F1ED3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1.产品名称</w:t>
      </w:r>
    </w:p>
    <w:p w14:paraId="1E5F87EB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超声及电疗治疗仪</w:t>
      </w:r>
    </w:p>
    <w:p w14:paraId="0337474B">
      <w:pPr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2.技术参数</w:t>
      </w:r>
    </w:p>
    <w:p w14:paraId="42859279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2.1输出通道</w:t>
      </w:r>
    </w:p>
    <w:p w14:paraId="73AAFC34">
      <w:pPr>
        <w:widowControl w:val="0"/>
        <w:numPr>
          <w:ilvl w:val="0"/>
          <w:numId w:val="1"/>
        </w:numPr>
        <w:spacing w:line="240" w:lineRule="auto"/>
        <w:ind w:left="84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电疗模块：两个通道；</w:t>
      </w:r>
    </w:p>
    <w:p w14:paraId="5B1AB055">
      <w:pPr>
        <w:widowControl w:val="0"/>
        <w:numPr>
          <w:ilvl w:val="0"/>
          <w:numId w:val="1"/>
        </w:numPr>
        <w:spacing w:line="240" w:lineRule="auto"/>
        <w:ind w:left="845" w:leftChars="0" w:hanging="425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超声模块：两个通道；</w:t>
      </w:r>
    </w:p>
    <w:p w14:paraId="384D6362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2.2电疗模块：具有低频电流，中频电流，干扰电和直流电等多种电流输出波形和参数变量可供医师进行选定，完全满足临床治疗的需要。</w:t>
      </w:r>
    </w:p>
    <w:p w14:paraId="6C4B04B6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2.3电流类型：预调制电流、俄式刺激、4极干扰电、双向脉冲电流（TENS）、感应电流、间动电、直流电、高压电及微电流等28种电流类型。</w:t>
      </w:r>
    </w:p>
    <w:p w14:paraId="60540B98">
      <w:pPr>
        <w:widowControl w:val="0"/>
        <w:numPr>
          <w:ilvl w:val="0"/>
          <w:numId w:val="0"/>
        </w:numPr>
        <w:spacing w:line="240" w:lineRule="auto"/>
        <w:ind w:leftChars="1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(1)预调制电流 （有浪涌程序）</w:t>
      </w:r>
    </w:p>
    <w:p w14:paraId="15EF67BD">
      <w:pPr>
        <w:widowControl w:val="0"/>
        <w:numPr>
          <w:ilvl w:val="0"/>
          <w:numId w:val="0"/>
        </w:numPr>
        <w:spacing w:line="240" w:lineRule="auto"/>
        <w:ind w:leftChars="1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(2)俄式刺激 （有浪涌程序）</w:t>
      </w:r>
    </w:p>
    <w:p w14:paraId="6AE7367E">
      <w:pPr>
        <w:widowControl w:val="0"/>
        <w:numPr>
          <w:ilvl w:val="0"/>
          <w:numId w:val="0"/>
        </w:numPr>
        <w:spacing w:line="240" w:lineRule="auto"/>
        <w:ind w:leftChars="1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(3)4极干扰电</w:t>
      </w:r>
    </w:p>
    <w:p w14:paraId="67297AFB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①经典干扰电（有调制程序）</w:t>
      </w:r>
    </w:p>
    <w:p w14:paraId="44C70251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②等平面向量干扰电 （有调制程序）</w:t>
      </w:r>
    </w:p>
    <w:p w14:paraId="0A919262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③手动两极向量干扰电（有调制程序）</w:t>
      </w:r>
    </w:p>
    <w:p w14:paraId="5C4E9B2E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④自动两极向量干扰电 </w:t>
      </w:r>
    </w:p>
    <w:p w14:paraId="00DD80B4">
      <w:pPr>
        <w:widowControl w:val="0"/>
        <w:numPr>
          <w:ilvl w:val="0"/>
          <w:numId w:val="0"/>
        </w:numPr>
        <w:spacing w:line="240" w:lineRule="auto"/>
        <w:ind w:leftChars="1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(4)双向脉冲电流（TENS）</w:t>
      </w:r>
    </w:p>
    <w:p w14:paraId="561E8FC6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①双向不对称脉冲电流（有浪涌程序+调制程序）</w:t>
      </w:r>
    </w:p>
    <w:p w14:paraId="00AB47EF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②双向不对称交替脉冲电流（有浪涌程序+调制程序）</w:t>
      </w:r>
    </w:p>
    <w:p w14:paraId="024D4D96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③调制双向不对称脉冲电流</w:t>
      </w:r>
    </w:p>
    <w:p w14:paraId="4957C58B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④调制双向不对称交替脉冲电流</w:t>
      </w:r>
    </w:p>
    <w:p w14:paraId="6A48EF4A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⑤ 双向对称脉冲电流（有浪涌程序+调制程序）</w:t>
      </w:r>
    </w:p>
    <w:p w14:paraId="3A990355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⑥ 调制双向对称脉冲电流  </w:t>
      </w:r>
    </w:p>
    <w:p w14:paraId="73CA3E4A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(5)感应电流</w:t>
      </w:r>
    </w:p>
    <w:p w14:paraId="771A2EE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①2-5 方波 </w:t>
      </w:r>
    </w:p>
    <w:p w14:paraId="2ED5DB89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②方波(ms)（有浪涌程序）</w:t>
      </w:r>
    </w:p>
    <w:p w14:paraId="65C4D5B3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③三角波(ms)（有浪涌程序）</w:t>
      </w:r>
    </w:p>
    <w:p w14:paraId="62D43EB7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④方波(Hz) （有浪涌程序）</w:t>
      </w:r>
    </w:p>
    <w:p w14:paraId="09ACD76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⑤三角波(Hz) （有浪涌程序）</w:t>
      </w:r>
    </w:p>
    <w:p w14:paraId="2EEBD296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(6)间动电</w:t>
      </w:r>
    </w:p>
    <w:p w14:paraId="79191A78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①疏波（有浪涌程序）</w:t>
      </w:r>
    </w:p>
    <w:p w14:paraId="1544046A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②密波（有浪涌程序）</w:t>
      </w:r>
    </w:p>
    <w:p w14:paraId="4F335DB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③间升波</w:t>
      </w:r>
    </w:p>
    <w:p w14:paraId="2D78AA9B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④疏密波</w:t>
      </w:r>
    </w:p>
    <w:p w14:paraId="24FCD33A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⑤疏密起伏波</w:t>
      </w:r>
    </w:p>
    <w:p w14:paraId="6520FE40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(7)直流电</w:t>
      </w:r>
    </w:p>
    <w:p w14:paraId="24FFB66E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①断续直流电</w:t>
      </w:r>
    </w:p>
    <w:p w14:paraId="66DD3276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②连续直流电</w:t>
      </w:r>
    </w:p>
    <w:p w14:paraId="29621EEE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(8)高压电</w:t>
      </w:r>
    </w:p>
    <w:p w14:paraId="704A51CE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①（双脉冲）高压电 （有浪涌程序+调制程序）</w:t>
      </w:r>
    </w:p>
    <w:p w14:paraId="78FA81C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②交变（双脉冲）高压电 （有调制程序）</w:t>
      </w:r>
    </w:p>
    <w:p w14:paraId="30F06A7B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(9)微电流</w:t>
      </w:r>
    </w:p>
    <w:p w14:paraId="0BBBCE90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①微电流（有浪涌程序）</w:t>
      </w:r>
    </w:p>
    <w:p w14:paraId="4D3B6A0A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②交变微电流</w:t>
      </w:r>
    </w:p>
    <w:p w14:paraId="19BF759D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2.4超声模块：</w:t>
      </w:r>
    </w:p>
    <w:p w14:paraId="0558E545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(1)超声工作频率：1MHz和3MHz；</w:t>
      </w:r>
    </w:p>
    <w:p w14:paraId="04EE39F7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(2)超声模式：连续和脉冲；</w:t>
      </w:r>
    </w:p>
    <w:p w14:paraId="17CE8D70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(3)脉冲频率：16Hz、48Hz、100Hz，</w:t>
      </w:r>
    </w:p>
    <w:p w14:paraId="5DD5F23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(4)*占空比：5％、10％、20％、33%，50％、80％； </w:t>
      </w:r>
    </w:p>
    <w:p w14:paraId="0E0D198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(5)有效声强：连续模式（0－2W/cm2）、脉冲模式（0－3W/cm2） ；</w:t>
      </w:r>
    </w:p>
    <w:p w14:paraId="7BD4C19B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(6)计 时 器：电疗0–60min可调，超声0–30min可调；</w:t>
      </w:r>
    </w:p>
    <w:p w14:paraId="328EE814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(7)*接触控制功能：当超声探头没有足够的表面接触到患者时，治疗就会中断（即接触控制）。强度显示开始闪烁，并且治疗计时停止。</w:t>
      </w:r>
    </w:p>
    <w:p w14:paraId="41C8C393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2.5彩色TFT液晶触摸屏、中文显示；</w:t>
      </w:r>
    </w:p>
    <w:p w14:paraId="46E7E872">
      <w:pPr>
        <w:widowControl w:val="0"/>
        <w:numPr>
          <w:ilvl w:val="0"/>
          <w:numId w:val="0"/>
        </w:numPr>
        <w:tabs>
          <w:tab w:val="center" w:pos="5233"/>
        </w:tabs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2.6存储功能：可以保存机器的设置和处方；</w:t>
      </w:r>
    </w:p>
    <w:p w14:paraId="1C05CE1F">
      <w:pPr>
        <w:widowControl w:val="0"/>
        <w:numPr>
          <w:ilvl w:val="0"/>
          <w:numId w:val="0"/>
        </w:numPr>
        <w:tabs>
          <w:tab w:val="center" w:pos="5233"/>
        </w:tabs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2.7报错功能：当设备有硬件故障时，会在显示界面弹出警告信息；</w:t>
      </w:r>
    </w:p>
    <w:p w14:paraId="60A6047F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2.8内置69个可循证的临床处方，且治疗处方中附有人体解剖图、彩图和文字信息治疗指南；</w:t>
      </w:r>
    </w:p>
    <w:p w14:paraId="7539096B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(1)25个超声治疗处方；</w:t>
      </w:r>
    </w:p>
    <w:p w14:paraId="2A1A4962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(2)42个电疗处方；</w:t>
      </w:r>
    </w:p>
    <w:p w14:paraId="34FA404B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(3)2个超声电疗联合治疗处方；</w:t>
      </w:r>
    </w:p>
    <w:p w14:paraId="4D3DD724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2.9超声电疗联合治疗模式：结合两种物理因子，缓解疼痛及肌肉痉挛； </w:t>
      </w:r>
    </w:p>
    <w:p w14:paraId="6EB02FA6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2.10工作电源：AC220V,50Hz；</w:t>
      </w:r>
    </w:p>
    <w:p w14:paraId="39FB487C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2.11输入功率：100VA；</w:t>
      </w:r>
    </w:p>
    <w:p w14:paraId="2AAAE1CE">
      <w:pPr>
        <w:widowControl w:val="0"/>
        <w:numPr>
          <w:ilvl w:val="0"/>
          <w:numId w:val="0"/>
        </w:numPr>
        <w:spacing w:line="24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2.12主机: </w:t>
      </w:r>
    </w:p>
    <w:p w14:paraId="707B6908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单独尺寸规格≤  24 * 32 * 12 cm (w * d * h)</w:t>
      </w:r>
    </w:p>
    <w:p w14:paraId="2297A6AD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斜坡尺寸规格≤24 * 30.5 * 18.2 cm (w * d * h) </w:t>
      </w:r>
    </w:p>
    <w:p w14:paraId="2ACDE535">
      <w:pPr>
        <w:widowControl w:val="0"/>
        <w:numPr>
          <w:ilvl w:val="0"/>
          <w:numId w:val="0"/>
        </w:numPr>
        <w:spacing w:line="240" w:lineRule="auto"/>
        <w:ind w:leftChars="200"/>
        <w:jc w:val="left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主机重量≤2 Kg 超声治疗头（5cm²）重量：394g；超声治疗头（0.8cm²）重量≤380g；</w:t>
      </w:r>
    </w:p>
    <w:p w14:paraId="3E1E8F41">
      <w:pPr>
        <w:numPr>
          <w:ilvl w:val="0"/>
          <w:numId w:val="0"/>
        </w:numPr>
        <w:spacing w:line="480" w:lineRule="auto"/>
        <w:jc w:val="center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配置清单</w:t>
      </w:r>
    </w:p>
    <w:tbl>
      <w:tblPr>
        <w:tblStyle w:val="3"/>
        <w:tblW w:w="94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6194"/>
        <w:gridCol w:w="1066"/>
        <w:gridCol w:w="1385"/>
      </w:tblGrid>
      <w:tr w14:paraId="0ADBC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 w14:paraId="61D4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 w14:paraId="7C72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名   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 w14:paraId="7958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 w:val="0"/>
            <w:vAlign w:val="center"/>
          </w:tcPr>
          <w:p w14:paraId="0E06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5564D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超声及电疗治疗仪（主机）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0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C043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7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C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3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74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</w:tr>
      <w:tr w14:paraId="0D39B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1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电缆线（2m）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D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 w14:paraId="0645A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5F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1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B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超声治疗头（5cm²）</w:t>
            </w:r>
          </w:p>
          <w:p w14:paraId="4A8E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超声治疗头（0.8cm²）选配一个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D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 w14:paraId="568D9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8C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61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45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1C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86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C03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FA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15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医用超声耦合剂（250ml）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F7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17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</w:tr>
      <w:tr w14:paraId="1D4FD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5F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71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固定带（250cmx3cm）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990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E1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 w14:paraId="389C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3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6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固定带（100cmx3cm）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5E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8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 w14:paraId="7D3E1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8BE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3A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橡胶电极海绵垫（8cmx10cm）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3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8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 w14:paraId="0EC91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1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橡胶电极（6cmx8cm）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 w14:paraId="4FC1B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自粘电极（4cmx4cm）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6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</w:p>
        </w:tc>
      </w:tr>
      <w:tr w14:paraId="237F3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超声头支架*2、十字螺丝刀*1、底座*1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6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466A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5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探头手柄保护套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72705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合格证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6F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份</w:t>
            </w:r>
          </w:p>
        </w:tc>
      </w:tr>
      <w:tr w14:paraId="0991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保修卡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2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份</w:t>
            </w:r>
          </w:p>
        </w:tc>
      </w:tr>
      <w:tr w14:paraId="7420D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A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F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</w:tr>
      <w:tr w14:paraId="3D0CD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F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3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简易操作卡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6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</w:tr>
      <w:tr w14:paraId="7F50C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8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9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三证（营业执照、注册证、生产许可证）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</w:tr>
      <w:tr w14:paraId="7378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配置清单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2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份</w:t>
            </w:r>
          </w:p>
        </w:tc>
      </w:tr>
      <w:tr w14:paraId="1754B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选配</w:t>
            </w: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  <w:bookmarkEnd w:id="0"/>
          </w:p>
        </w:tc>
      </w:tr>
      <w:tr w14:paraId="19AD4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遥控器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8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4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  <w:tr w14:paraId="46D43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1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背包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0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</w:tr>
    </w:tbl>
    <w:p w14:paraId="19B2F836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35C49110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760994C2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0BD9E7F0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7134CDF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4DD66DD6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6567323F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161950AD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7046ED94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373B99B7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37FC5D1B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18D9955A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76860878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77BD3E5B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455529C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43EADA91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E52702D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39C03998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5B92FF57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715C7BF1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31B12CD">
      <w:pPr>
        <w:numPr>
          <w:ilvl w:val="0"/>
          <w:numId w:val="0"/>
        </w:numPr>
        <w:spacing w:line="520" w:lineRule="exact"/>
        <w:jc w:val="center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07F55D72">
      <w:pPr>
        <w:numPr>
          <w:ilvl w:val="0"/>
          <w:numId w:val="0"/>
        </w:numPr>
        <w:spacing w:line="520" w:lineRule="exact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光谱热疗仪参数</w:t>
      </w:r>
    </w:p>
    <w:p w14:paraId="28BD0A83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15D76F15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宋体" w:hAnsi="宋体"/>
          <w:sz w:val="21"/>
          <w:szCs w:val="21"/>
        </w:rPr>
        <w:t>治疗光源：卤素光源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; </w:t>
      </w:r>
    </w:p>
    <w:p w14:paraId="5766215F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宋体" w:hAnsi="宋体"/>
          <w:sz w:val="21"/>
          <w:szCs w:val="21"/>
        </w:rPr>
        <w:t>功率</w:t>
      </w:r>
      <w:r>
        <w:rPr>
          <w:rFonts w:hint="eastAsia" w:ascii="宋体" w:hAnsi="宋体"/>
          <w:sz w:val="21"/>
          <w:szCs w:val="21"/>
          <w:lang w:val="en-US" w:eastAsia="zh-CN"/>
        </w:rPr>
        <w:t>：</w:t>
      </w:r>
      <w:r>
        <w:rPr>
          <w:rFonts w:hint="default" w:ascii="Calibri" w:hAnsi="Calibri" w:eastAsia="Calibri" w:cs="Calibri"/>
          <w:sz w:val="21"/>
          <w:szCs w:val="21"/>
          <w:lang w:val="en-US" w:eastAsia="zh-CN"/>
        </w:rPr>
        <w:t>≥</w:t>
      </w:r>
      <w:r>
        <w:rPr>
          <w:rFonts w:hint="eastAsia" w:ascii="宋体" w:hAnsi="宋体"/>
          <w:sz w:val="21"/>
          <w:szCs w:val="21"/>
          <w:lang w:val="en-US" w:eastAsia="zh-CN"/>
        </w:rPr>
        <w:t>600W;（附证明文件）</w:t>
      </w:r>
    </w:p>
    <w:p w14:paraId="5134A7C9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3.</w:t>
      </w:r>
      <w:r>
        <w:rPr>
          <w:rFonts w:hint="eastAsia" w:ascii="宋体" w:hAnsi="宋体"/>
          <w:sz w:val="21"/>
          <w:szCs w:val="21"/>
        </w:rPr>
        <w:t>输出方式：连续输出</w:t>
      </w:r>
      <w:r>
        <w:rPr>
          <w:rFonts w:hint="eastAsia" w:ascii="宋体" w:hAnsi="宋体"/>
          <w:sz w:val="21"/>
          <w:szCs w:val="21"/>
          <w:lang w:val="en-US" w:eastAsia="zh-CN"/>
        </w:rPr>
        <w:t>;</w:t>
      </w:r>
      <w:r>
        <w:rPr>
          <w:rFonts w:hint="eastAsia" w:ascii="宋体" w:hAnsi="宋体"/>
          <w:sz w:val="21"/>
          <w:szCs w:val="21"/>
          <w:lang w:eastAsia="zh-CN"/>
        </w:rPr>
        <w:t>，</w:t>
      </w:r>
    </w:p>
    <w:p w14:paraId="606485AD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4.</w:t>
      </w:r>
      <w:r>
        <w:rPr>
          <w:rFonts w:hint="eastAsia" w:ascii="宋体" w:hAnsi="宋体"/>
          <w:sz w:val="21"/>
          <w:szCs w:val="21"/>
        </w:rPr>
        <w:t>光源光谱波长范围：</w:t>
      </w:r>
      <w:r>
        <w:rPr>
          <w:rFonts w:hint="eastAsia" w:ascii="宋体" w:hAnsi="宋体"/>
          <w:sz w:val="21"/>
          <w:szCs w:val="21"/>
          <w:lang w:val="en-US" w:eastAsia="zh-CN"/>
        </w:rPr>
        <w:t>59</w:t>
      </w:r>
      <w:r>
        <w:rPr>
          <w:rFonts w:hint="eastAsia" w:ascii="宋体" w:hAnsi="宋体"/>
          <w:sz w:val="21"/>
          <w:szCs w:val="21"/>
        </w:rPr>
        <w:t>0---</w:t>
      </w:r>
      <w:r>
        <w:rPr>
          <w:rFonts w:hint="eastAsia" w:ascii="宋体" w:hAnsi="宋体"/>
          <w:sz w:val="21"/>
          <w:szCs w:val="21"/>
          <w:lang w:val="en-US" w:eastAsia="zh-CN"/>
        </w:rPr>
        <w:t>14</w:t>
      </w:r>
      <w:r>
        <w:rPr>
          <w:rFonts w:hint="eastAsia" w:ascii="宋体" w:hAnsi="宋体"/>
          <w:sz w:val="21"/>
          <w:szCs w:val="21"/>
        </w:rPr>
        <w:t>00nm</w:t>
      </w:r>
      <w:r>
        <w:rPr>
          <w:rFonts w:hint="eastAsia" w:ascii="宋体" w:hAnsi="宋体"/>
          <w:sz w:val="21"/>
          <w:szCs w:val="21"/>
          <w:lang w:val="en-US" w:eastAsia="zh-CN"/>
        </w:rPr>
        <w:t>；</w:t>
      </w:r>
    </w:p>
    <w:p w14:paraId="74D3B638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5.</w:t>
      </w:r>
      <w:r>
        <w:rPr>
          <w:rFonts w:hint="eastAsia" w:ascii="宋体" w:hAnsi="宋体"/>
          <w:sz w:val="21"/>
          <w:szCs w:val="21"/>
          <w:lang w:eastAsia="zh-CN"/>
        </w:rPr>
        <w:t>照射深度</w:t>
      </w:r>
      <w:r>
        <w:rPr>
          <w:rFonts w:hint="default" w:ascii="Calibri" w:hAnsi="Calibri" w:eastAsia="Calibri" w:cs="Calibri"/>
          <w:sz w:val="21"/>
          <w:szCs w:val="21"/>
          <w:lang w:eastAsia="zh-CN"/>
        </w:rPr>
        <w:t>≥</w:t>
      </w:r>
      <w:r>
        <w:rPr>
          <w:rFonts w:hint="eastAsia" w:ascii="宋体" w:hAnsi="宋体"/>
          <w:sz w:val="21"/>
          <w:szCs w:val="21"/>
          <w:lang w:eastAsia="zh-CN"/>
        </w:rPr>
        <w:t>15cm</w:t>
      </w:r>
    </w:p>
    <w:p w14:paraId="28DF70F7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6.</w:t>
      </w:r>
      <w:r>
        <w:rPr>
          <w:rFonts w:hint="eastAsia" w:ascii="宋体" w:hAnsi="宋体"/>
          <w:sz w:val="21"/>
          <w:szCs w:val="21"/>
          <w:lang w:val="en-US" w:eastAsia="zh-CN"/>
        </w:rPr>
        <w:t>距离出光口25cm处的有效照射直径不小于20cm；</w:t>
      </w:r>
    </w:p>
    <w:p w14:paraId="49E2E384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7.</w:t>
      </w:r>
      <w:r>
        <w:rPr>
          <w:rFonts w:hint="eastAsia" w:ascii="宋体" w:hAnsi="宋体"/>
          <w:sz w:val="21"/>
          <w:szCs w:val="21"/>
          <w:lang w:val="en-US" w:eastAsia="zh-CN"/>
        </w:rPr>
        <w:t>时间设定自由调整，范围不小于50分钟；</w:t>
      </w:r>
    </w:p>
    <w:p w14:paraId="60602984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8.</w:t>
      </w:r>
      <w:r>
        <w:rPr>
          <w:rFonts w:hint="eastAsia" w:ascii="宋体" w:hAnsi="宋体"/>
          <w:sz w:val="21"/>
          <w:szCs w:val="21"/>
          <w:lang w:val="en-US" w:eastAsia="zh-CN"/>
        </w:rPr>
        <w:t>设备持续运行时间≥10小时(提供检测报告)</w:t>
      </w:r>
    </w:p>
    <w:p w14:paraId="63EB3EC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9.</w:t>
      </w:r>
      <w:r>
        <w:rPr>
          <w:rFonts w:hint="eastAsia"/>
          <w:sz w:val="21"/>
          <w:szCs w:val="21"/>
          <w:lang w:val="en-US" w:eastAsia="zh-CN"/>
        </w:rPr>
        <w:t>设备连续开机4小时，光功率密度持续稳定在200mw/cm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vertAlign w:val="baseline"/>
          <w:lang w:val="en-US" w:eastAsia="zh-CN"/>
        </w:rPr>
        <w:t>以上，（提供检测报告）；</w:t>
      </w:r>
    </w:p>
    <w:p w14:paraId="27624B61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10.</w:t>
      </w:r>
      <w:r>
        <w:rPr>
          <w:rFonts w:hint="eastAsia" w:ascii="宋体" w:hAnsi="宋体"/>
          <w:sz w:val="21"/>
          <w:szCs w:val="21"/>
          <w:lang w:val="en-US" w:eastAsia="zh-CN"/>
        </w:rPr>
        <w:t>10</w:t>
      </w:r>
      <w:r>
        <w:rPr>
          <w:rFonts w:hint="eastAsia" w:ascii="宋体" w:hAnsi="宋体"/>
          <w:sz w:val="21"/>
          <w:szCs w:val="21"/>
          <w:vertAlign w:val="superscript"/>
          <w:lang w:val="en-US" w:eastAsia="zh-CN"/>
        </w:rPr>
        <w:t>0</w:t>
      </w:r>
      <w:r>
        <w:rPr>
          <w:rFonts w:hint="eastAsia" w:ascii="宋体" w:hAnsi="宋体"/>
          <w:sz w:val="21"/>
          <w:szCs w:val="21"/>
          <w:vertAlign w:val="baseline"/>
          <w:lang w:val="en-US" w:eastAsia="zh-CN"/>
        </w:rPr>
        <w:t>C</w:t>
      </w:r>
      <w:r>
        <w:rPr>
          <w:rFonts w:hint="eastAsia" w:ascii="宋体" w:hAnsi="宋体"/>
          <w:sz w:val="21"/>
          <w:szCs w:val="21"/>
          <w:lang w:val="en-US" w:eastAsia="zh-CN"/>
        </w:rPr>
        <w:t>以下低温工作环境中，</w:t>
      </w:r>
      <w:r>
        <w:rPr>
          <w:rFonts w:hint="eastAsia"/>
          <w:sz w:val="21"/>
          <w:szCs w:val="21"/>
          <w:lang w:val="en-US" w:eastAsia="zh-CN"/>
        </w:rPr>
        <w:t>光功率密度持续稳定在200mw/cm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vertAlign w:val="baseline"/>
          <w:lang w:val="en-US" w:eastAsia="zh-CN"/>
        </w:rPr>
        <w:t>以上（提供检测报告）</w:t>
      </w:r>
      <w:r>
        <w:rPr>
          <w:rFonts w:hint="eastAsia" w:ascii="宋体" w:hAnsi="宋体"/>
          <w:sz w:val="21"/>
          <w:szCs w:val="21"/>
          <w:lang w:val="en-US" w:eastAsia="zh-CN"/>
        </w:rPr>
        <w:t>；</w:t>
      </w:r>
    </w:p>
    <w:p w14:paraId="3AE5BCAD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11.</w:t>
      </w:r>
      <w:r>
        <w:rPr>
          <w:rFonts w:hint="eastAsia" w:ascii="宋体" w:hAnsi="宋体"/>
          <w:sz w:val="21"/>
          <w:szCs w:val="21"/>
          <w:vertAlign w:val="baseline"/>
          <w:lang w:val="en-US" w:eastAsia="zh-CN"/>
        </w:rPr>
        <w:t>40</w:t>
      </w:r>
      <w:r>
        <w:rPr>
          <w:rFonts w:hint="eastAsia" w:ascii="宋体" w:hAnsi="宋体"/>
          <w:sz w:val="21"/>
          <w:szCs w:val="21"/>
          <w:vertAlign w:val="superscript"/>
          <w:lang w:val="en-US" w:eastAsia="zh-CN"/>
        </w:rPr>
        <w:t>0</w:t>
      </w:r>
      <w:r>
        <w:rPr>
          <w:rFonts w:hint="eastAsia" w:ascii="宋体" w:hAnsi="宋体"/>
          <w:sz w:val="21"/>
          <w:szCs w:val="21"/>
          <w:vertAlign w:val="baseline"/>
          <w:lang w:val="en-US" w:eastAsia="zh-CN"/>
        </w:rPr>
        <w:t>C</w:t>
      </w:r>
      <w:r>
        <w:rPr>
          <w:rFonts w:hint="eastAsia" w:ascii="宋体" w:hAnsi="宋体"/>
          <w:sz w:val="21"/>
          <w:szCs w:val="21"/>
          <w:lang w:val="en-US" w:eastAsia="zh-CN"/>
        </w:rPr>
        <w:t>以上高温工作环境中，</w:t>
      </w:r>
      <w:r>
        <w:rPr>
          <w:rFonts w:hint="eastAsia"/>
          <w:sz w:val="21"/>
          <w:szCs w:val="21"/>
          <w:lang w:val="en-US" w:eastAsia="zh-CN"/>
        </w:rPr>
        <w:t>光功率密度持续稳定在200mw/cm</w:t>
      </w:r>
      <w:r>
        <w:rPr>
          <w:rFonts w:hint="eastAsia"/>
          <w:sz w:val="21"/>
          <w:szCs w:val="21"/>
          <w:vertAlign w:val="superscript"/>
          <w:lang w:val="en-US" w:eastAsia="zh-CN"/>
        </w:rPr>
        <w:t>2</w:t>
      </w:r>
      <w:r>
        <w:rPr>
          <w:rFonts w:hint="eastAsia"/>
          <w:sz w:val="21"/>
          <w:szCs w:val="21"/>
          <w:vertAlign w:val="baseline"/>
          <w:lang w:val="en-US" w:eastAsia="zh-CN"/>
        </w:rPr>
        <w:t>以上（提供检测报告）</w:t>
      </w:r>
      <w:r>
        <w:rPr>
          <w:rFonts w:hint="eastAsia" w:ascii="宋体" w:hAnsi="宋体"/>
          <w:sz w:val="21"/>
          <w:szCs w:val="21"/>
          <w:lang w:val="en-US" w:eastAsia="zh-CN"/>
        </w:rPr>
        <w:t>；</w:t>
      </w:r>
    </w:p>
    <w:p w14:paraId="3F868F31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12.</w:t>
      </w:r>
      <w:r>
        <w:rPr>
          <w:rFonts w:hint="eastAsia" w:ascii="宋体" w:hAnsi="宋体"/>
          <w:sz w:val="21"/>
          <w:szCs w:val="21"/>
        </w:rPr>
        <w:t>治疗主机外壳温度：</w:t>
      </w:r>
      <w:r>
        <w:rPr>
          <w:rFonts w:hint="eastAsia" w:ascii="宋体" w:hAnsi="宋体"/>
          <w:sz w:val="21"/>
          <w:szCs w:val="21"/>
          <w:lang w:eastAsia="zh-CN"/>
        </w:rPr>
        <w:t>设备开机持续工作30-240分钟后≤48</w:t>
      </w:r>
      <w:r>
        <w:rPr>
          <w:rFonts w:hint="default" w:ascii="Calibri" w:hAnsi="Calibri" w:eastAsia="Calibri" w:cs="Calibri"/>
          <w:sz w:val="21"/>
          <w:szCs w:val="21"/>
          <w:lang w:eastAsia="zh-CN"/>
        </w:rPr>
        <w:t>℃</w:t>
      </w:r>
      <w:r>
        <w:rPr>
          <w:rFonts w:hint="eastAsia" w:ascii="Calibri" w:hAnsi="Calibri" w:eastAsia="Calibri" w:cs="Calibri"/>
          <w:sz w:val="21"/>
          <w:szCs w:val="21"/>
          <w:lang w:eastAsia="zh-CN"/>
        </w:rPr>
        <w:t>(提供检测报告)</w:t>
      </w:r>
    </w:p>
    <w:p w14:paraId="47B6B503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13.</w:t>
      </w:r>
      <w:r>
        <w:rPr>
          <w:rFonts w:hint="eastAsia" w:ascii="宋体" w:hAnsi="宋体"/>
          <w:sz w:val="21"/>
          <w:szCs w:val="21"/>
          <w:lang w:eastAsia="zh-CN"/>
        </w:rPr>
        <w:t>照射有机物表面温度＜41</w:t>
      </w:r>
      <w:r>
        <w:rPr>
          <w:rFonts w:hint="default" w:ascii="Calibri" w:hAnsi="Calibri" w:eastAsia="Calibri" w:cs="Calibri"/>
          <w:sz w:val="21"/>
          <w:szCs w:val="21"/>
          <w:lang w:eastAsia="zh-CN"/>
        </w:rPr>
        <w:t>℃</w:t>
      </w:r>
      <w:r>
        <w:rPr>
          <w:rFonts w:hint="eastAsia" w:ascii="Calibri" w:hAnsi="Calibri" w:eastAsia="Calibri" w:cs="Calibri"/>
          <w:sz w:val="21"/>
          <w:szCs w:val="21"/>
          <w:lang w:eastAsia="zh-CN"/>
        </w:rPr>
        <w:t>(提供检测报告)</w:t>
      </w:r>
    </w:p>
    <w:p w14:paraId="792FC2EE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14.</w:t>
      </w:r>
      <w:r>
        <w:rPr>
          <w:rFonts w:hint="eastAsia" w:ascii="宋体" w:hAnsi="宋体"/>
          <w:sz w:val="21"/>
          <w:szCs w:val="21"/>
          <w:lang w:val="en-US" w:eastAsia="zh-CN"/>
        </w:rPr>
        <w:t>治疗装置应配置定距杆，且长度在25cm-28cm之间；</w:t>
      </w:r>
    </w:p>
    <w:p w14:paraId="239C24AD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15.</w:t>
      </w:r>
      <w:r>
        <w:rPr>
          <w:rFonts w:hint="eastAsia" w:ascii="宋体" w:hAnsi="宋体"/>
          <w:sz w:val="21"/>
          <w:szCs w:val="21"/>
          <w:lang w:val="en-US" w:eastAsia="zh-CN"/>
        </w:rPr>
        <w:t>设备无相关使用险，可以直接照射面部治疗；</w:t>
      </w:r>
    </w:p>
    <w:p w14:paraId="40BBADE0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16.</w:t>
      </w:r>
      <w:r>
        <w:rPr>
          <w:rFonts w:hint="eastAsia" w:ascii="宋体" w:hAnsi="宋体"/>
          <w:sz w:val="21"/>
          <w:szCs w:val="21"/>
          <w:vertAlign w:val="baseline"/>
          <w:lang w:val="en-US" w:eastAsia="zh-CN"/>
        </w:rPr>
        <w:t>设备具备倾倒防护装置；</w:t>
      </w:r>
    </w:p>
    <w:p w14:paraId="6F4F613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17.</w:t>
      </w:r>
      <w:r>
        <w:rPr>
          <w:rFonts w:hint="eastAsia" w:ascii="宋体" w:hAnsi="宋体"/>
          <w:sz w:val="21"/>
          <w:szCs w:val="21"/>
          <w:lang w:val="en-US" w:eastAsia="zh-CN"/>
        </w:rPr>
        <w:t>外壳应固定在U型金属支架上转动，且角度不小于90度；</w:t>
      </w:r>
    </w:p>
    <w:p w14:paraId="091A225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18.</w:t>
      </w:r>
      <w:r>
        <w:rPr>
          <w:rFonts w:hint="eastAsia" w:ascii="宋体" w:hAnsi="宋体"/>
          <w:sz w:val="21"/>
          <w:szCs w:val="21"/>
          <w:lang w:val="en-US" w:eastAsia="zh-CN"/>
        </w:rPr>
        <w:t>光源底座具备锁紧保护装置；</w:t>
      </w:r>
    </w:p>
    <w:p w14:paraId="55E4EB27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19.</w:t>
      </w:r>
      <w:r>
        <w:rPr>
          <w:rFonts w:hint="eastAsia" w:ascii="宋体" w:hAnsi="宋体"/>
          <w:sz w:val="21"/>
          <w:szCs w:val="21"/>
          <w:lang w:val="en-US" w:eastAsia="zh-CN"/>
        </w:rPr>
        <w:t>过滤器口径在90mm-100mm之间；</w:t>
      </w:r>
    </w:p>
    <w:p w14:paraId="4C862E30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20.</w:t>
      </w:r>
      <w:r>
        <w:rPr>
          <w:rFonts w:hint="eastAsia" w:ascii="宋体" w:hAnsi="宋体"/>
          <w:sz w:val="21"/>
          <w:szCs w:val="21"/>
          <w:lang w:val="en-US" w:eastAsia="zh-CN"/>
        </w:rPr>
        <w:t>设备应配备安全切断装置，当正常治疗中发生过热时，安全切断装置应可靠地切断治疗装置的工作电源，停止照射。而当冷却后，安全切断装置应自动复位；</w:t>
      </w:r>
    </w:p>
    <w:p w14:paraId="461F24E3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21.</w:t>
      </w:r>
      <w:r>
        <w:rPr>
          <w:rFonts w:hint="eastAsia" w:ascii="宋体" w:hAnsi="宋体"/>
          <w:sz w:val="21"/>
          <w:szCs w:val="21"/>
          <w:lang w:val="en-US" w:eastAsia="zh-CN"/>
        </w:rPr>
        <w:t>治疗装置的光源应配备防护外壳；</w:t>
      </w:r>
    </w:p>
    <w:p w14:paraId="2C61EA16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22.</w:t>
      </w:r>
      <w:r>
        <w:rPr>
          <w:rFonts w:hint="eastAsia" w:ascii="宋体" w:hAnsi="宋体"/>
          <w:sz w:val="21"/>
          <w:szCs w:val="21"/>
          <w:lang w:val="en-US" w:eastAsia="zh-CN"/>
        </w:rPr>
        <w:t>采用进口液体夹层过虑器。（提供报关证明）</w:t>
      </w:r>
    </w:p>
    <w:p w14:paraId="55017409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23.</w:t>
      </w:r>
      <w:r>
        <w:rPr>
          <w:rFonts w:hint="eastAsia"/>
        </w:rPr>
        <w:t>底盘车配有万向轮，可移动，可锁止。移动方便，使用安全。</w:t>
      </w:r>
    </w:p>
    <w:p w14:paraId="311F0CA2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24.</w:t>
      </w:r>
      <w:r>
        <w:rPr>
          <w:rFonts w:hint="eastAsia"/>
        </w:rPr>
        <w:t>脚踏式液压升降开关，可锁止。</w:t>
      </w:r>
    </w:p>
    <w:p w14:paraId="24EDEBBC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25.</w:t>
      </w:r>
      <w:r>
        <w:rPr>
          <w:rFonts w:hint="eastAsia"/>
        </w:rPr>
        <w:t>手扶式升降高度调节，省力，便捷。</w:t>
      </w:r>
    </w:p>
    <w:p w14:paraId="7ED385ED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26.</w:t>
      </w:r>
      <w:r>
        <w:rPr>
          <w:rFonts w:hint="eastAsia"/>
        </w:rPr>
        <w:t>高度可调节，高度1.1m~1.5m，适合各种临床场景。</w:t>
      </w:r>
    </w:p>
    <w:p w14:paraId="5A9B89A2">
      <w:pPr>
        <w:numPr>
          <w:ilvl w:val="0"/>
          <w:numId w:val="0"/>
        </w:numPr>
        <w:spacing w:line="240" w:lineRule="auto"/>
        <w:ind w:left="425" w:leftChars="0" w:hanging="425" w:firstLineChars="0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27.</w:t>
      </w:r>
      <w:r>
        <w:rPr>
          <w:rFonts w:hint="eastAsia"/>
        </w:rPr>
        <w:t>带有挂线器，方便使用后，收纳。</w:t>
      </w:r>
    </w:p>
    <w:p w14:paraId="2EC6D25E">
      <w:pPr>
        <w:rPr>
          <w:rFonts w:hint="eastAsia" w:ascii="宋体" w:hAnsi="宋体" w:eastAsia="宋体" w:cs="宋体"/>
          <w:sz w:val="21"/>
          <w:szCs w:val="21"/>
        </w:rPr>
      </w:pPr>
    </w:p>
    <w:p w14:paraId="245A40C7">
      <w:pPr>
        <w:rPr>
          <w:rFonts w:hint="eastAsia" w:ascii="宋体" w:hAnsi="宋体" w:eastAsia="宋体" w:cs="宋体"/>
          <w:sz w:val="21"/>
          <w:szCs w:val="21"/>
        </w:rPr>
      </w:pPr>
    </w:p>
    <w:p w14:paraId="7C76260D">
      <w:pPr>
        <w:rPr>
          <w:rFonts w:hint="eastAsia" w:ascii="宋体" w:hAnsi="宋体" w:eastAsia="宋体" w:cs="宋体"/>
          <w:sz w:val="21"/>
          <w:szCs w:val="21"/>
        </w:rPr>
      </w:pPr>
    </w:p>
    <w:p w14:paraId="65DA2792">
      <w:pPr>
        <w:rPr>
          <w:rFonts w:hint="eastAsia" w:ascii="宋体" w:hAnsi="宋体" w:eastAsia="宋体" w:cs="宋体"/>
          <w:sz w:val="21"/>
          <w:szCs w:val="21"/>
        </w:rPr>
      </w:pPr>
    </w:p>
    <w:p w14:paraId="67EA0CAE">
      <w:pPr>
        <w:rPr>
          <w:rFonts w:hint="eastAsia" w:ascii="宋体" w:hAnsi="宋体" w:eastAsia="宋体" w:cs="宋体"/>
          <w:sz w:val="21"/>
          <w:szCs w:val="21"/>
        </w:rPr>
      </w:pPr>
    </w:p>
    <w:p w14:paraId="3D0CD95E">
      <w:pPr>
        <w:rPr>
          <w:rFonts w:hint="eastAsia" w:ascii="宋体" w:hAnsi="宋体" w:eastAsia="宋体" w:cs="宋体"/>
          <w:sz w:val="21"/>
          <w:szCs w:val="21"/>
        </w:rPr>
      </w:pPr>
    </w:p>
    <w:p w14:paraId="6C1B6B14">
      <w:pPr>
        <w:rPr>
          <w:rFonts w:hint="eastAsia" w:ascii="宋体" w:hAnsi="宋体" w:eastAsia="宋体" w:cs="宋体"/>
          <w:sz w:val="21"/>
          <w:szCs w:val="21"/>
        </w:rPr>
      </w:pPr>
    </w:p>
    <w:p w14:paraId="1270D32A">
      <w:pPr>
        <w:rPr>
          <w:rFonts w:hint="eastAsia" w:ascii="宋体" w:hAnsi="宋体" w:eastAsia="宋体" w:cs="宋体"/>
          <w:sz w:val="21"/>
          <w:szCs w:val="21"/>
        </w:rPr>
      </w:pPr>
    </w:p>
    <w:p w14:paraId="5486D09C">
      <w:pPr>
        <w:rPr>
          <w:rFonts w:hint="eastAsia" w:ascii="宋体" w:hAnsi="宋体" w:eastAsia="宋体" w:cs="宋体"/>
          <w:sz w:val="21"/>
          <w:szCs w:val="21"/>
        </w:rPr>
      </w:pPr>
    </w:p>
    <w:p w14:paraId="5485F77D">
      <w:pPr>
        <w:rPr>
          <w:rFonts w:hint="eastAsia" w:ascii="宋体" w:hAnsi="宋体" w:eastAsia="宋体" w:cs="宋体"/>
          <w:sz w:val="21"/>
          <w:szCs w:val="21"/>
        </w:rPr>
      </w:pPr>
    </w:p>
    <w:p w14:paraId="76864BC0">
      <w:pPr>
        <w:rPr>
          <w:rFonts w:hint="eastAsia" w:ascii="宋体" w:hAnsi="宋体" w:eastAsia="宋体" w:cs="宋体"/>
          <w:sz w:val="21"/>
          <w:szCs w:val="21"/>
        </w:rPr>
      </w:pPr>
    </w:p>
    <w:p w14:paraId="1F8DB017">
      <w:pPr>
        <w:rPr>
          <w:rFonts w:hint="eastAsia" w:ascii="宋体" w:hAnsi="宋体" w:eastAsia="宋体" w:cs="宋体"/>
          <w:sz w:val="21"/>
          <w:szCs w:val="21"/>
        </w:rPr>
      </w:pPr>
    </w:p>
    <w:p w14:paraId="7105BA23">
      <w:pPr>
        <w:rPr>
          <w:rFonts w:hint="eastAsia" w:ascii="宋体" w:hAnsi="宋体" w:eastAsia="宋体" w:cs="宋体"/>
          <w:sz w:val="21"/>
          <w:szCs w:val="21"/>
        </w:rPr>
      </w:pPr>
    </w:p>
    <w:p w14:paraId="38229E86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电动起立床参数</w:t>
      </w:r>
      <w:bookmarkStart w:id="3" w:name="_GoBack"/>
      <w:bookmarkEnd w:id="3"/>
    </w:p>
    <w:p w14:paraId="1404F779">
      <w:pPr>
        <w:spacing w:line="360" w:lineRule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bookmarkStart w:id="1" w:name="OLE_LINK8"/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1、正常工作条件：</w:t>
      </w:r>
    </w:p>
    <w:p w14:paraId="1D968E7D">
      <w:pPr>
        <w:spacing w:line="360" w:lineRule="auto"/>
        <w:ind w:firstLine="22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a)温度：5℃～40℃；</w:t>
      </w:r>
    </w:p>
    <w:p w14:paraId="33E5075C">
      <w:pPr>
        <w:spacing w:line="360" w:lineRule="auto"/>
        <w:ind w:firstLine="22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b)相对湿度：≤80%；</w:t>
      </w:r>
    </w:p>
    <w:p w14:paraId="745825DE">
      <w:pPr>
        <w:spacing w:line="360" w:lineRule="auto"/>
        <w:ind w:firstLine="22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c)大气压力：700hPa～1060hPa；</w:t>
      </w:r>
    </w:p>
    <w:p w14:paraId="74B1A07E">
      <w:pPr>
        <w:spacing w:line="360" w:lineRule="auto"/>
        <w:ind w:firstLine="220" w:firstLineChars="100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d)使用电源电压：A.C. 220V，50Hz。</w:t>
      </w:r>
    </w:p>
    <w:p w14:paraId="5D6702E0">
      <w:pPr>
        <w:spacing w:line="360" w:lineRule="auto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2、床面水平：2015mm×700mm×580mm，床面尺寸：1870mm×630mm；</w:t>
      </w:r>
    </w:p>
    <w:p w14:paraId="3F0082B9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3、床面直立角度：最大85°</w:t>
      </w:r>
    </w:p>
    <w:p w14:paraId="11A3C1CF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4、配备三条宽大的固定绑带，给患者安全、舒适的体验</w:t>
      </w:r>
    </w:p>
    <w:p w14:paraId="524EEA6E">
      <w:pPr>
        <w:spacing w:line="360" w:lineRule="auto"/>
        <w:ind w:firstLine="220" w:firstLineChars="10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上身/腹部固定带宽度：≥80mm；</w:t>
      </w:r>
    </w:p>
    <w:p w14:paraId="38845BB2">
      <w:pPr>
        <w:spacing w:line="360" w:lineRule="auto"/>
        <w:ind w:firstLine="220" w:firstLineChars="100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腿部固定带宽度：≥80mm；</w:t>
      </w:r>
    </w:p>
    <w:p w14:paraId="48BE9E6B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5、连续可调的桌面板和扶手，方便不同体型的使用者，扶手桌尺寸：740mm×380mm，扶手桌面上下调节行程：≥355mm，前后调节行程≥120mm；</w:t>
      </w:r>
    </w:p>
    <w:p w14:paraId="53D05825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6、配备两个独立可调的踝关节矫正踏板，脚踏板尺寸：340mm×165mm，左右翻在 -35°～ +35°范围之内，上下翻在-20°～ +40°范围之内；</w:t>
      </w:r>
    </w:p>
    <w:p w14:paraId="7AD26525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7、最大安全载荷175Kg；</w:t>
      </w:r>
    </w:p>
    <w:p w14:paraId="4F776100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bookmarkStart w:id="2" w:name="_Hlk141447882"/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、通过手控开关控制床面倾斜角度，操作方便；</w:t>
      </w:r>
    </w:p>
    <w:p w14:paraId="72009C10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sz w:val="22"/>
          <w:szCs w:val="22"/>
        </w:rPr>
        <w:t>、床面采用高品质耐用易清洗皮革和高密度海绵，舒适、健康环保</w:t>
      </w:r>
    </w:p>
    <w:bookmarkEnd w:id="1"/>
    <w:bookmarkEnd w:id="2"/>
    <w:p w14:paraId="4F6BE50C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520C58F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2BFBB"/>
    <w:multiLevelType w:val="singleLevel"/>
    <w:tmpl w:val="6BF2BFBB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F1136"/>
    <w:rsid w:val="0AD02E89"/>
    <w:rsid w:val="16AA639C"/>
    <w:rsid w:val="1C8A66C6"/>
    <w:rsid w:val="1DEA52D0"/>
    <w:rsid w:val="1DEF1136"/>
    <w:rsid w:val="2C385D6B"/>
    <w:rsid w:val="2D635C6E"/>
    <w:rsid w:val="370621D9"/>
    <w:rsid w:val="430640AA"/>
    <w:rsid w:val="48C97457"/>
    <w:rsid w:val="492601CA"/>
    <w:rsid w:val="4C643C73"/>
    <w:rsid w:val="6329064A"/>
    <w:rsid w:val="6E3D1F82"/>
    <w:rsid w:val="6E411855"/>
    <w:rsid w:val="771542E1"/>
    <w:rsid w:val="7E0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2098</Words>
  <Characters>2574</Characters>
  <Lines>0</Lines>
  <Paragraphs>0</Paragraphs>
  <TotalTime>1</TotalTime>
  <ScaleCrop>false</ScaleCrop>
  <LinksUpToDate>false</LinksUpToDate>
  <CharactersWithSpaces>2629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2025-02-28T07:52:00Z</dcterms:created>
  <dc:creator>谭静</dc:creator>
  <cp:lastModifiedBy>babyjie</cp:lastModifiedBy>
  <dcterms:modified xsi:type="dcterms:W3CDTF">2025-03-04T13:00:11Z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73F6C152CA094C1ABD220AA63E367EC8_11</vt:lpwstr>
  </property>
  <property fmtid="{D5CDD505-2E9C-101B-9397-08002B2CF9AE}" pid="4" name="KSOTemplateDocerSaveRecord">
    <vt:lpwstr>eyJoZGlkIjoiNDlhZDRhZjE5NWU3OGM2ODBkYzAxYjg5YTk0NWVkYzIiLCJ1c2VySWQiOiIzMTQyMTc2MDUifQ==</vt:lpwstr>
  </property>
</Properties>
</file>