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7DE20">
      <w:pPr>
        <w:ind w:right="280"/>
        <w:jc w:val="left"/>
        <w:rPr>
          <w:rFonts w:hint="eastAsia" w:ascii="仿宋" w:hAnsi="仿宋" w:eastAsia="仿宋" w:cs="仿宋"/>
          <w:sz w:val="28"/>
          <w:szCs w:val="28"/>
          <w:lang w:eastAsia="zh-CN"/>
        </w:rPr>
      </w:pPr>
      <w:bookmarkStart w:id="0" w:name="_GoBack"/>
      <w:bookmarkEnd w:id="0"/>
    </w:p>
    <w:p w14:paraId="360B8C93">
      <w:pPr>
        <w:ind w:right="28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遵义市第一人民医院（桃溪院区后勤保障楼-三楼会议室）智能化系统</w:t>
      </w:r>
    </w:p>
    <w:p w14:paraId="4502A660">
      <w:pPr>
        <w:ind w:right="28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竞争性磋商办法</w:t>
      </w:r>
    </w:p>
    <w:p w14:paraId="2B0DF42B">
      <w:pPr>
        <w:ind w:right="280"/>
        <w:jc w:val="left"/>
        <w:rPr>
          <w:rFonts w:hint="eastAsia" w:ascii="仿宋" w:hAnsi="仿宋" w:eastAsia="仿宋" w:cs="仿宋"/>
          <w:sz w:val="28"/>
          <w:szCs w:val="28"/>
          <w:lang w:eastAsia="zh-CN"/>
        </w:rPr>
      </w:pPr>
    </w:p>
    <w:p w14:paraId="2D6E1718">
      <w:pPr>
        <w:ind w:right="280"/>
        <w:jc w:val="left"/>
        <w:rPr>
          <w:rFonts w:hint="eastAsia" w:ascii="仿宋" w:hAnsi="仿宋" w:eastAsia="仿宋" w:cs="仿宋"/>
          <w:sz w:val="28"/>
          <w:szCs w:val="28"/>
          <w:lang w:eastAsia="zh-CN"/>
        </w:rPr>
      </w:pPr>
    </w:p>
    <w:p w14:paraId="009966F3">
      <w:pPr>
        <w:ind w:right="28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根据我院桃溪院区建设需求及竞争性磋商管理办法，特制定本次磋商流程，请各潜在供应商按要求准备资料并参与。</w:t>
      </w:r>
    </w:p>
    <w:p w14:paraId="11185F85">
      <w:pPr>
        <w:ind w:right="28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一、响应文件组成响应要求</w:t>
      </w:r>
    </w:p>
    <w:p w14:paraId="7B7C9508">
      <w:pPr>
        <w:ind w:right="28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1.报名公司符合《中华人民共和国政府采购法》第二十二条规定；有效期内的营业执照（加盖鲜章）；</w:t>
      </w:r>
    </w:p>
    <w:p w14:paraId="167EAB60">
      <w:pPr>
        <w:ind w:right="28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2.具有法人签字并盖公司鲜章的授权委托书，法人到场的需准备法人身份证原件；</w:t>
      </w:r>
    </w:p>
    <w:p w14:paraId="7F190C85">
      <w:pPr>
        <w:ind w:right="28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3.商务、技术资料三份（一正二副），电子版资料PDF格式，U盘一份；</w:t>
      </w:r>
    </w:p>
    <w:p w14:paraId="54D2266C">
      <w:pPr>
        <w:ind w:right="28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4.设备产品及报价清单（见附件）；</w:t>
      </w:r>
    </w:p>
    <w:p w14:paraId="1399BFF5">
      <w:pPr>
        <w:ind w:right="280"/>
        <w:jc w:val="left"/>
        <w:rPr>
          <w:rFonts w:hint="eastAsia" w:ascii="仿宋" w:hAnsi="仿宋" w:eastAsia="仿宋" w:cs="仿宋"/>
          <w:sz w:val="28"/>
          <w:szCs w:val="28"/>
          <w:highlight w:val="green"/>
          <w:lang w:val="en-US" w:eastAsia="zh-CN"/>
        </w:rPr>
      </w:pPr>
      <w:r>
        <w:rPr>
          <w:rFonts w:hint="eastAsia" w:ascii="仿宋" w:hAnsi="仿宋" w:eastAsia="仿宋" w:cs="仿宋"/>
          <w:sz w:val="28"/>
          <w:szCs w:val="28"/>
          <w:highlight w:val="none"/>
          <w:lang w:val="en-US" w:eastAsia="zh-CN"/>
        </w:rPr>
        <w:t xml:space="preserve">   </w:t>
      </w:r>
    </w:p>
    <w:p w14:paraId="35718962">
      <w:pPr>
        <w:ind w:right="28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二、评分标准</w:t>
      </w:r>
    </w:p>
    <w:p w14:paraId="7B69E9C6">
      <w:pPr>
        <w:ind w:right="28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p>
    <w:tbl>
      <w:tblPr>
        <w:tblStyle w:val="8"/>
        <w:tblW w:w="9658"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6"/>
        <w:gridCol w:w="803"/>
        <w:gridCol w:w="7349"/>
      </w:tblGrid>
      <w:tr w14:paraId="18B6F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506" w:type="dxa"/>
            <w:vAlign w:val="top"/>
          </w:tcPr>
          <w:p w14:paraId="7EC5B7BF">
            <w:pPr>
              <w:pStyle w:val="7"/>
              <w:spacing w:before="146" w:line="301" w:lineRule="auto"/>
              <w:ind w:left="289" w:right="71" w:hanging="214"/>
              <w:rPr>
                <w:sz w:val="22"/>
                <w:szCs w:val="22"/>
              </w:rPr>
            </w:pPr>
            <w:r>
              <w:rPr>
                <w:b/>
                <w:bCs/>
                <w:spacing w:val="5"/>
                <w:sz w:val="22"/>
                <w:szCs w:val="22"/>
              </w:rPr>
              <w:t>评分内</w:t>
            </w:r>
            <w:r>
              <w:rPr>
                <w:b/>
                <w:bCs/>
                <w:spacing w:val="-3"/>
                <w:sz w:val="22"/>
                <w:szCs w:val="22"/>
              </w:rPr>
              <w:t>容</w:t>
            </w:r>
          </w:p>
        </w:tc>
        <w:tc>
          <w:tcPr>
            <w:tcW w:w="803" w:type="dxa"/>
            <w:vAlign w:val="top"/>
          </w:tcPr>
          <w:p w14:paraId="0FC0DC47">
            <w:pPr>
              <w:spacing w:line="279" w:lineRule="auto"/>
              <w:rPr>
                <w:rFonts w:ascii="Arial"/>
                <w:sz w:val="22"/>
                <w:szCs w:val="22"/>
              </w:rPr>
            </w:pPr>
          </w:p>
          <w:p w14:paraId="4BAB416F">
            <w:pPr>
              <w:pStyle w:val="7"/>
              <w:spacing w:before="65" w:line="228" w:lineRule="auto"/>
              <w:ind w:left="183"/>
              <w:rPr>
                <w:sz w:val="22"/>
                <w:szCs w:val="22"/>
              </w:rPr>
            </w:pPr>
            <w:r>
              <w:rPr>
                <w:b/>
                <w:bCs/>
                <w:spacing w:val="2"/>
                <w:sz w:val="22"/>
                <w:szCs w:val="22"/>
              </w:rPr>
              <w:t>分值</w:t>
            </w:r>
          </w:p>
        </w:tc>
        <w:tc>
          <w:tcPr>
            <w:tcW w:w="7349" w:type="dxa"/>
            <w:vAlign w:val="top"/>
          </w:tcPr>
          <w:p w14:paraId="7513D328">
            <w:pPr>
              <w:spacing w:line="279" w:lineRule="auto"/>
              <w:rPr>
                <w:rFonts w:ascii="Arial"/>
                <w:sz w:val="22"/>
                <w:szCs w:val="22"/>
              </w:rPr>
            </w:pPr>
          </w:p>
          <w:p w14:paraId="36AB8C11">
            <w:pPr>
              <w:pStyle w:val="7"/>
              <w:spacing w:before="65" w:line="229" w:lineRule="auto"/>
              <w:ind w:left="2884"/>
              <w:rPr>
                <w:sz w:val="22"/>
                <w:szCs w:val="22"/>
              </w:rPr>
            </w:pPr>
            <w:r>
              <w:rPr>
                <w:b/>
                <w:bCs/>
                <w:spacing w:val="6"/>
                <w:sz w:val="22"/>
                <w:szCs w:val="22"/>
              </w:rPr>
              <w:t>评分标准</w:t>
            </w:r>
          </w:p>
        </w:tc>
      </w:tr>
      <w:tr w14:paraId="2E99A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1506" w:type="dxa"/>
            <w:vAlign w:val="top"/>
          </w:tcPr>
          <w:p w14:paraId="2559AEE0">
            <w:pPr>
              <w:spacing w:line="246" w:lineRule="auto"/>
              <w:rPr>
                <w:rFonts w:ascii="Arial"/>
                <w:sz w:val="22"/>
                <w:szCs w:val="22"/>
              </w:rPr>
            </w:pPr>
          </w:p>
          <w:p w14:paraId="7F4F8984">
            <w:pPr>
              <w:spacing w:line="247" w:lineRule="auto"/>
              <w:rPr>
                <w:rFonts w:ascii="Arial"/>
                <w:sz w:val="22"/>
                <w:szCs w:val="22"/>
              </w:rPr>
            </w:pPr>
          </w:p>
          <w:p w14:paraId="4E726F48">
            <w:pPr>
              <w:pStyle w:val="7"/>
              <w:spacing w:before="72" w:line="322" w:lineRule="auto"/>
              <w:ind w:left="10" w:right="110" w:firstLine="1"/>
              <w:rPr>
                <w:sz w:val="22"/>
                <w:szCs w:val="22"/>
              </w:rPr>
            </w:pPr>
            <w:r>
              <w:rPr>
                <w:spacing w:val="-4"/>
                <w:sz w:val="22"/>
                <w:szCs w:val="22"/>
              </w:rPr>
              <w:t>投标报</w:t>
            </w:r>
            <w:r>
              <w:rPr>
                <w:sz w:val="22"/>
                <w:szCs w:val="22"/>
              </w:rPr>
              <w:t>价</w:t>
            </w:r>
          </w:p>
        </w:tc>
        <w:tc>
          <w:tcPr>
            <w:tcW w:w="803" w:type="dxa"/>
            <w:vAlign w:val="top"/>
          </w:tcPr>
          <w:p w14:paraId="6B06759A">
            <w:pPr>
              <w:spacing w:line="241" w:lineRule="auto"/>
              <w:rPr>
                <w:rFonts w:ascii="Arial"/>
                <w:sz w:val="22"/>
                <w:szCs w:val="22"/>
              </w:rPr>
            </w:pPr>
          </w:p>
          <w:p w14:paraId="7B7E8D91">
            <w:pPr>
              <w:spacing w:line="241" w:lineRule="auto"/>
              <w:rPr>
                <w:rFonts w:ascii="Arial"/>
                <w:sz w:val="22"/>
                <w:szCs w:val="22"/>
              </w:rPr>
            </w:pPr>
          </w:p>
          <w:p w14:paraId="5EA16AE8">
            <w:pPr>
              <w:pStyle w:val="7"/>
              <w:spacing w:before="72" w:line="222" w:lineRule="auto"/>
              <w:rPr>
                <w:sz w:val="22"/>
                <w:szCs w:val="22"/>
              </w:rPr>
            </w:pPr>
            <w:r>
              <w:rPr>
                <w:rFonts w:hint="eastAsia"/>
                <w:spacing w:val="-5"/>
                <w:sz w:val="22"/>
                <w:szCs w:val="22"/>
                <w:lang w:val="en-US" w:eastAsia="zh-CN"/>
              </w:rPr>
              <w:t>30</w:t>
            </w:r>
            <w:r>
              <w:rPr>
                <w:spacing w:val="-5"/>
                <w:sz w:val="22"/>
                <w:szCs w:val="22"/>
              </w:rPr>
              <w:t>分</w:t>
            </w:r>
          </w:p>
        </w:tc>
        <w:tc>
          <w:tcPr>
            <w:tcW w:w="7349" w:type="dxa"/>
            <w:vAlign w:val="top"/>
          </w:tcPr>
          <w:p w14:paraId="685D3C99">
            <w:pPr>
              <w:pStyle w:val="7"/>
              <w:spacing w:before="33" w:line="361" w:lineRule="auto"/>
              <w:ind w:left="9" w:right="2" w:hanging="1"/>
              <w:jc w:val="both"/>
              <w:rPr>
                <w:rFonts w:ascii="Arial"/>
                <w:sz w:val="22"/>
                <w:szCs w:val="22"/>
              </w:rPr>
            </w:pPr>
            <w:r>
              <w:rPr>
                <w:spacing w:val="11"/>
                <w:sz w:val="22"/>
                <w:szCs w:val="22"/>
              </w:rPr>
              <w:t>投标报价得分</w:t>
            </w:r>
            <w:r>
              <w:rPr>
                <w:rFonts w:ascii="Times New Roman" w:hAnsi="Times New Roman" w:eastAsia="Times New Roman" w:cs="Times New Roman"/>
                <w:spacing w:val="11"/>
                <w:sz w:val="22"/>
                <w:szCs w:val="22"/>
              </w:rPr>
              <w:t>=(</w:t>
            </w:r>
            <w:r>
              <w:rPr>
                <w:spacing w:val="11"/>
                <w:sz w:val="22"/>
                <w:szCs w:val="22"/>
              </w:rPr>
              <w:t>评标基准价／投标报价</w:t>
            </w:r>
            <w:r>
              <w:rPr>
                <w:rFonts w:ascii="Times New Roman" w:hAnsi="Times New Roman" w:eastAsia="Times New Roman" w:cs="Times New Roman"/>
                <w:spacing w:val="11"/>
                <w:sz w:val="22"/>
                <w:szCs w:val="22"/>
              </w:rPr>
              <w:t>)×</w:t>
            </w:r>
            <w:r>
              <w:rPr>
                <w:spacing w:val="11"/>
                <w:sz w:val="22"/>
                <w:szCs w:val="22"/>
              </w:rPr>
              <w:t>价格权值（</w:t>
            </w:r>
            <w:r>
              <w:rPr>
                <w:rFonts w:hint="eastAsia" w:ascii="Times New Roman" w:hAnsi="Times New Roman" w:eastAsia="宋体" w:cs="Times New Roman"/>
                <w:spacing w:val="11"/>
                <w:sz w:val="22"/>
                <w:szCs w:val="22"/>
                <w:lang w:val="en-US" w:eastAsia="zh-CN"/>
              </w:rPr>
              <w:t>3</w:t>
            </w:r>
            <w:r>
              <w:rPr>
                <w:rFonts w:ascii="Times New Roman" w:hAnsi="Times New Roman" w:eastAsia="Times New Roman" w:cs="Times New Roman"/>
                <w:spacing w:val="11"/>
                <w:sz w:val="22"/>
                <w:szCs w:val="22"/>
              </w:rPr>
              <w:t>0%</w:t>
            </w:r>
            <w:r>
              <w:rPr>
                <w:spacing w:val="11"/>
                <w:sz w:val="22"/>
                <w:szCs w:val="22"/>
              </w:rPr>
              <w:t>）</w:t>
            </w:r>
            <w:r>
              <w:rPr>
                <w:spacing w:val="-48"/>
                <w:sz w:val="22"/>
                <w:szCs w:val="22"/>
              </w:rPr>
              <w:t xml:space="preserve"> </w:t>
            </w:r>
            <w:r>
              <w:rPr>
                <w:rFonts w:ascii="Times New Roman" w:hAnsi="Times New Roman" w:eastAsia="Times New Roman" w:cs="Times New Roman"/>
                <w:spacing w:val="11"/>
                <w:sz w:val="22"/>
                <w:szCs w:val="22"/>
              </w:rPr>
              <w:t>×100</w:t>
            </w:r>
            <w:r>
              <w:rPr>
                <w:rFonts w:ascii="Times New Roman" w:hAnsi="Times New Roman" w:eastAsia="Times New Roman" w:cs="Times New Roman"/>
                <w:sz w:val="22"/>
                <w:szCs w:val="22"/>
              </w:rPr>
              <w:t xml:space="preserve"> </w:t>
            </w:r>
            <w:r>
              <w:rPr>
                <w:spacing w:val="8"/>
                <w:sz w:val="22"/>
                <w:szCs w:val="22"/>
              </w:rPr>
              <w:t>（四舍五入后保留小数点后两位）。</w:t>
            </w:r>
          </w:p>
          <w:p w14:paraId="340E4DC9">
            <w:pPr>
              <w:pStyle w:val="7"/>
              <w:spacing w:before="65" w:line="368" w:lineRule="auto"/>
              <w:ind w:left="8" w:right="6"/>
              <w:jc w:val="both"/>
              <w:rPr>
                <w:sz w:val="22"/>
                <w:szCs w:val="22"/>
              </w:rPr>
            </w:pPr>
          </w:p>
        </w:tc>
      </w:tr>
      <w:tr w14:paraId="2BC0A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1506" w:type="dxa"/>
            <w:vAlign w:val="top"/>
          </w:tcPr>
          <w:p w14:paraId="38D0D80A">
            <w:pPr>
              <w:spacing w:line="259" w:lineRule="auto"/>
              <w:rPr>
                <w:rFonts w:ascii="Arial"/>
                <w:sz w:val="22"/>
                <w:szCs w:val="22"/>
              </w:rPr>
            </w:pPr>
          </w:p>
          <w:p w14:paraId="17EFDC35">
            <w:pPr>
              <w:spacing w:line="259" w:lineRule="auto"/>
              <w:rPr>
                <w:rFonts w:ascii="Arial"/>
                <w:sz w:val="22"/>
                <w:szCs w:val="22"/>
              </w:rPr>
            </w:pPr>
          </w:p>
          <w:p w14:paraId="40F63BCD">
            <w:pPr>
              <w:pStyle w:val="7"/>
              <w:spacing w:before="71" w:line="327" w:lineRule="auto"/>
              <w:ind w:right="110"/>
              <w:jc w:val="both"/>
              <w:rPr>
                <w:rFonts w:hint="default" w:eastAsia="宋体"/>
                <w:sz w:val="22"/>
                <w:szCs w:val="22"/>
                <w:lang w:val="en-US" w:eastAsia="zh-CN"/>
              </w:rPr>
            </w:pPr>
            <w:r>
              <w:rPr>
                <w:rFonts w:hint="eastAsia"/>
                <w:sz w:val="22"/>
                <w:szCs w:val="22"/>
                <w:lang w:val="en-US" w:eastAsia="zh-CN"/>
              </w:rPr>
              <w:t>产品技术偏离</w:t>
            </w:r>
          </w:p>
        </w:tc>
        <w:tc>
          <w:tcPr>
            <w:tcW w:w="803" w:type="dxa"/>
            <w:vAlign w:val="top"/>
          </w:tcPr>
          <w:p w14:paraId="7AE73B1C">
            <w:pPr>
              <w:spacing w:line="286" w:lineRule="auto"/>
              <w:rPr>
                <w:rFonts w:ascii="Arial"/>
                <w:sz w:val="22"/>
                <w:szCs w:val="22"/>
              </w:rPr>
            </w:pPr>
          </w:p>
          <w:p w14:paraId="5292D093">
            <w:pPr>
              <w:spacing w:line="286" w:lineRule="auto"/>
              <w:rPr>
                <w:rFonts w:ascii="宋体" w:hAnsi="宋体" w:eastAsia="宋体" w:cs="宋体"/>
                <w:spacing w:val="-5"/>
                <w:kern w:val="2"/>
                <w:sz w:val="22"/>
                <w:szCs w:val="22"/>
                <w:lang w:val="en-US" w:eastAsia="zh-CN" w:bidi="ar-SA"/>
              </w:rPr>
            </w:pPr>
          </w:p>
          <w:p w14:paraId="6C7D7B93">
            <w:pPr>
              <w:spacing w:line="287" w:lineRule="auto"/>
              <w:rPr>
                <w:rFonts w:hint="default" w:ascii="宋体" w:hAnsi="宋体" w:eastAsia="宋体" w:cs="宋体"/>
                <w:spacing w:val="-5"/>
                <w:kern w:val="2"/>
                <w:sz w:val="22"/>
                <w:szCs w:val="22"/>
                <w:lang w:val="en-US" w:eastAsia="zh-CN" w:bidi="ar-SA"/>
              </w:rPr>
            </w:pPr>
            <w:r>
              <w:rPr>
                <w:rFonts w:hint="eastAsia" w:ascii="宋体" w:hAnsi="宋体" w:eastAsia="宋体" w:cs="宋体"/>
                <w:spacing w:val="-5"/>
                <w:kern w:val="2"/>
                <w:sz w:val="22"/>
                <w:szCs w:val="22"/>
                <w:lang w:val="en-US" w:eastAsia="zh-CN" w:bidi="ar-SA"/>
              </w:rPr>
              <w:t>35</w:t>
            </w:r>
            <w:r>
              <w:rPr>
                <w:rFonts w:hint="eastAsia" w:ascii="宋体" w:hAnsi="宋体" w:cs="宋体"/>
                <w:spacing w:val="-5"/>
                <w:kern w:val="2"/>
                <w:sz w:val="22"/>
                <w:szCs w:val="22"/>
                <w:lang w:val="en-US" w:eastAsia="zh-CN" w:bidi="ar-SA"/>
              </w:rPr>
              <w:t>分</w:t>
            </w:r>
          </w:p>
          <w:p w14:paraId="3B96B678">
            <w:pPr>
              <w:spacing w:line="287" w:lineRule="auto"/>
              <w:rPr>
                <w:rFonts w:ascii="Arial"/>
                <w:sz w:val="22"/>
                <w:szCs w:val="22"/>
              </w:rPr>
            </w:pPr>
          </w:p>
          <w:p w14:paraId="6BC11421">
            <w:pPr>
              <w:spacing w:line="287" w:lineRule="auto"/>
              <w:rPr>
                <w:rFonts w:ascii="Arial"/>
                <w:sz w:val="22"/>
                <w:szCs w:val="22"/>
              </w:rPr>
            </w:pPr>
          </w:p>
          <w:p w14:paraId="446EEE0D">
            <w:pPr>
              <w:pStyle w:val="7"/>
              <w:spacing w:before="71" w:line="222" w:lineRule="auto"/>
              <w:ind w:left="15"/>
              <w:rPr>
                <w:sz w:val="22"/>
                <w:szCs w:val="22"/>
              </w:rPr>
            </w:pPr>
          </w:p>
        </w:tc>
        <w:tc>
          <w:tcPr>
            <w:tcW w:w="7349" w:type="dxa"/>
            <w:vAlign w:val="top"/>
          </w:tcPr>
          <w:p w14:paraId="4055F289">
            <w:pPr>
              <w:pStyle w:val="7"/>
              <w:spacing w:before="34" w:line="228" w:lineRule="auto"/>
              <w:ind w:left="9"/>
              <w:rPr>
                <w:rFonts w:hint="eastAsia"/>
                <w:spacing w:val="8"/>
                <w:sz w:val="22"/>
                <w:szCs w:val="22"/>
                <w:lang w:eastAsia="zh-CN"/>
              </w:rPr>
            </w:pPr>
          </w:p>
          <w:p w14:paraId="1ABEAAF8">
            <w:pPr>
              <w:pStyle w:val="7"/>
              <w:spacing w:before="34" w:line="228" w:lineRule="auto"/>
              <w:ind w:left="9"/>
              <w:rPr>
                <w:rFonts w:hint="eastAsia"/>
                <w:spacing w:val="8"/>
                <w:sz w:val="22"/>
                <w:szCs w:val="22"/>
                <w:lang w:eastAsia="zh-CN"/>
              </w:rPr>
            </w:pPr>
            <w:r>
              <w:rPr>
                <w:rFonts w:hint="eastAsia"/>
                <w:spacing w:val="8"/>
                <w:sz w:val="22"/>
                <w:szCs w:val="22"/>
              </w:rPr>
              <w:t>投标设备技术规格完全满足招标要求的得</w:t>
            </w:r>
            <w:r>
              <w:rPr>
                <w:rFonts w:hint="eastAsia"/>
                <w:spacing w:val="8"/>
                <w:sz w:val="22"/>
                <w:szCs w:val="22"/>
                <w:lang w:val="en-US" w:eastAsia="zh-CN"/>
              </w:rPr>
              <w:t>35</w:t>
            </w:r>
            <w:r>
              <w:rPr>
                <w:rFonts w:hint="eastAsia"/>
                <w:spacing w:val="8"/>
                <w:sz w:val="22"/>
                <w:szCs w:val="22"/>
              </w:rPr>
              <w:t>分，须提供投标产品彩页和产品相关性能检测证明材料并加盖厂商公章，不提供不得分。</w:t>
            </w:r>
          </w:p>
        </w:tc>
      </w:tr>
      <w:tr w14:paraId="64D34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1506" w:type="dxa"/>
            <w:vAlign w:val="top"/>
          </w:tcPr>
          <w:p w14:paraId="7F1B51E3">
            <w:pPr>
              <w:spacing w:line="460" w:lineRule="auto"/>
              <w:jc w:val="center"/>
              <w:rPr>
                <w:rFonts w:ascii="Arial"/>
                <w:sz w:val="22"/>
                <w:szCs w:val="22"/>
              </w:rPr>
            </w:pPr>
          </w:p>
          <w:p w14:paraId="6C36B5E5">
            <w:pPr>
              <w:pStyle w:val="7"/>
              <w:spacing w:before="72" w:line="222" w:lineRule="auto"/>
              <w:ind w:left="8"/>
              <w:jc w:val="both"/>
              <w:rPr>
                <w:sz w:val="22"/>
                <w:szCs w:val="22"/>
              </w:rPr>
            </w:pPr>
            <w:r>
              <w:rPr>
                <w:rFonts w:hint="eastAsia"/>
                <w:spacing w:val="-3"/>
                <w:sz w:val="22"/>
                <w:szCs w:val="22"/>
                <w:lang w:val="en-US" w:eastAsia="zh-CN"/>
              </w:rPr>
              <w:t>供应商</w:t>
            </w:r>
            <w:r>
              <w:rPr>
                <w:spacing w:val="-3"/>
                <w:sz w:val="22"/>
                <w:szCs w:val="22"/>
              </w:rPr>
              <w:t>业绩</w:t>
            </w:r>
          </w:p>
        </w:tc>
        <w:tc>
          <w:tcPr>
            <w:tcW w:w="803" w:type="dxa"/>
            <w:vAlign w:val="top"/>
          </w:tcPr>
          <w:p w14:paraId="63FAEEEB">
            <w:pPr>
              <w:spacing w:line="460" w:lineRule="auto"/>
              <w:rPr>
                <w:rFonts w:ascii="Arial"/>
                <w:sz w:val="22"/>
                <w:szCs w:val="22"/>
              </w:rPr>
            </w:pPr>
          </w:p>
          <w:p w14:paraId="61C6670C">
            <w:pPr>
              <w:pStyle w:val="7"/>
              <w:spacing w:before="72" w:line="222" w:lineRule="auto"/>
              <w:ind w:left="12"/>
              <w:rPr>
                <w:sz w:val="22"/>
                <w:szCs w:val="22"/>
              </w:rPr>
            </w:pPr>
            <w:r>
              <w:rPr>
                <w:rFonts w:hint="eastAsia"/>
                <w:spacing w:val="-5"/>
                <w:sz w:val="22"/>
                <w:szCs w:val="22"/>
                <w:lang w:val="en-US" w:eastAsia="zh-CN"/>
              </w:rPr>
              <w:t>10</w:t>
            </w:r>
            <w:r>
              <w:rPr>
                <w:spacing w:val="-5"/>
                <w:sz w:val="22"/>
                <w:szCs w:val="22"/>
              </w:rPr>
              <w:t>分</w:t>
            </w:r>
          </w:p>
        </w:tc>
        <w:tc>
          <w:tcPr>
            <w:tcW w:w="7349" w:type="dxa"/>
            <w:vAlign w:val="top"/>
          </w:tcPr>
          <w:p w14:paraId="5C1857BE">
            <w:pPr>
              <w:pStyle w:val="7"/>
              <w:spacing w:before="143" w:line="313" w:lineRule="auto"/>
              <w:ind w:left="11" w:right="36" w:hanging="1"/>
              <w:jc w:val="both"/>
              <w:rPr>
                <w:rFonts w:hint="eastAsia" w:eastAsia="宋体"/>
                <w:sz w:val="22"/>
                <w:szCs w:val="22"/>
                <w:lang w:eastAsia="zh-CN"/>
              </w:rPr>
            </w:pPr>
            <w:r>
              <w:rPr>
                <w:spacing w:val="8"/>
                <w:sz w:val="22"/>
                <w:szCs w:val="22"/>
              </w:rPr>
              <w:t>提供近三年内已完成</w:t>
            </w:r>
            <w:r>
              <w:rPr>
                <w:rFonts w:hint="eastAsia"/>
                <w:spacing w:val="8"/>
                <w:sz w:val="22"/>
                <w:szCs w:val="22"/>
                <w:lang w:val="en-US" w:eastAsia="zh-CN"/>
              </w:rPr>
              <w:t>类似</w:t>
            </w:r>
            <w:r>
              <w:rPr>
                <w:spacing w:val="8"/>
                <w:sz w:val="22"/>
                <w:szCs w:val="22"/>
              </w:rPr>
              <w:t>业绩</w:t>
            </w:r>
            <w:r>
              <w:rPr>
                <w:rFonts w:ascii="Times New Roman" w:hAnsi="Times New Roman" w:eastAsia="Times New Roman" w:cs="Times New Roman"/>
                <w:spacing w:val="8"/>
                <w:sz w:val="22"/>
                <w:szCs w:val="22"/>
              </w:rPr>
              <w:t>,</w:t>
            </w:r>
            <w:r>
              <w:rPr>
                <w:spacing w:val="8"/>
                <w:sz w:val="22"/>
                <w:szCs w:val="22"/>
              </w:rPr>
              <w:t>每提供</w:t>
            </w:r>
            <w:r>
              <w:rPr>
                <w:spacing w:val="-21"/>
                <w:sz w:val="22"/>
                <w:szCs w:val="22"/>
              </w:rPr>
              <w:t xml:space="preserve"> </w:t>
            </w:r>
            <w:r>
              <w:rPr>
                <w:rFonts w:ascii="Times New Roman" w:hAnsi="Times New Roman" w:eastAsia="Times New Roman" w:cs="Times New Roman"/>
                <w:spacing w:val="8"/>
                <w:sz w:val="22"/>
                <w:szCs w:val="22"/>
              </w:rPr>
              <w:t xml:space="preserve">1 </w:t>
            </w:r>
            <w:r>
              <w:rPr>
                <w:spacing w:val="8"/>
                <w:sz w:val="22"/>
                <w:szCs w:val="22"/>
              </w:rPr>
              <w:t>个有效业绩</w:t>
            </w:r>
            <w:r>
              <w:rPr>
                <w:spacing w:val="7"/>
                <w:sz w:val="22"/>
                <w:szCs w:val="22"/>
              </w:rPr>
              <w:t>的得</w:t>
            </w:r>
            <w:r>
              <w:rPr>
                <w:spacing w:val="-40"/>
                <w:sz w:val="22"/>
                <w:szCs w:val="22"/>
              </w:rPr>
              <w:t xml:space="preserve"> </w:t>
            </w:r>
            <w:r>
              <w:rPr>
                <w:rFonts w:hint="eastAsia" w:ascii="Times New Roman" w:hAnsi="Times New Roman" w:cs="Times New Roman"/>
                <w:spacing w:val="7"/>
                <w:sz w:val="22"/>
                <w:szCs w:val="22"/>
                <w:lang w:val="en-US" w:eastAsia="zh-CN"/>
              </w:rPr>
              <w:t>2</w:t>
            </w:r>
            <w:r>
              <w:rPr>
                <w:spacing w:val="7"/>
                <w:sz w:val="22"/>
                <w:szCs w:val="22"/>
              </w:rPr>
              <w:t>分</w:t>
            </w:r>
            <w:r>
              <w:rPr>
                <w:rFonts w:ascii="Times New Roman" w:hAnsi="Times New Roman" w:eastAsia="Times New Roman" w:cs="Times New Roman"/>
                <w:spacing w:val="7"/>
                <w:sz w:val="22"/>
                <w:szCs w:val="22"/>
              </w:rPr>
              <w:t>,</w:t>
            </w:r>
            <w:r>
              <w:rPr>
                <w:spacing w:val="7"/>
                <w:sz w:val="22"/>
                <w:szCs w:val="22"/>
              </w:rPr>
              <w:t>满分</w:t>
            </w:r>
            <w:r>
              <w:rPr>
                <w:spacing w:val="-33"/>
                <w:sz w:val="22"/>
                <w:szCs w:val="22"/>
              </w:rPr>
              <w:t xml:space="preserve"> </w:t>
            </w:r>
            <w:r>
              <w:rPr>
                <w:rFonts w:hint="eastAsia" w:ascii="Times New Roman" w:hAnsi="Times New Roman" w:cs="Times New Roman"/>
                <w:spacing w:val="7"/>
                <w:sz w:val="22"/>
                <w:szCs w:val="22"/>
                <w:lang w:val="en-US" w:eastAsia="zh-CN"/>
              </w:rPr>
              <w:t>10</w:t>
            </w:r>
            <w:r>
              <w:rPr>
                <w:spacing w:val="7"/>
                <w:sz w:val="22"/>
                <w:szCs w:val="22"/>
              </w:rPr>
              <w:t>分。</w:t>
            </w:r>
            <w:r>
              <w:rPr>
                <w:b/>
                <w:bCs/>
                <w:spacing w:val="7"/>
                <w:sz w:val="22"/>
                <w:szCs w:val="22"/>
              </w:rPr>
              <w:t>（提供中标通知书或签约合同复印件或扫描件加盖公章）</w:t>
            </w:r>
            <w:r>
              <w:rPr>
                <w:sz w:val="22"/>
                <w:szCs w:val="22"/>
              </w:rPr>
              <w:t xml:space="preserve"> </w:t>
            </w:r>
            <w:r>
              <w:rPr>
                <w:spacing w:val="-2"/>
                <w:sz w:val="22"/>
                <w:szCs w:val="22"/>
              </w:rPr>
              <w:t>不提供不得分</w:t>
            </w:r>
            <w:r>
              <w:rPr>
                <w:rFonts w:hint="eastAsia"/>
                <w:spacing w:val="-2"/>
                <w:sz w:val="22"/>
                <w:szCs w:val="22"/>
                <w:lang w:eastAsia="zh-CN"/>
              </w:rPr>
              <w:t>。</w:t>
            </w:r>
          </w:p>
        </w:tc>
      </w:tr>
      <w:tr w14:paraId="2A013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1506" w:type="dxa"/>
            <w:vAlign w:val="top"/>
          </w:tcPr>
          <w:p w14:paraId="0F6AB3B3">
            <w:pPr>
              <w:pStyle w:val="7"/>
              <w:spacing w:before="143" w:line="313" w:lineRule="auto"/>
              <w:ind w:left="11" w:right="36" w:hanging="1"/>
              <w:jc w:val="both"/>
              <w:rPr>
                <w:rFonts w:hint="default"/>
                <w:spacing w:val="8"/>
                <w:sz w:val="22"/>
                <w:szCs w:val="22"/>
                <w:lang w:val="en-US" w:eastAsia="zh-CN"/>
              </w:rPr>
            </w:pPr>
            <w:r>
              <w:rPr>
                <w:rFonts w:hint="eastAsia"/>
                <w:spacing w:val="8"/>
                <w:sz w:val="22"/>
                <w:szCs w:val="22"/>
                <w:lang w:val="en-US" w:eastAsia="zh-CN"/>
              </w:rPr>
              <w:t>项目服务标准</w:t>
            </w:r>
          </w:p>
        </w:tc>
        <w:tc>
          <w:tcPr>
            <w:tcW w:w="803" w:type="dxa"/>
            <w:vAlign w:val="top"/>
          </w:tcPr>
          <w:p w14:paraId="5CB34558">
            <w:pPr>
              <w:pStyle w:val="7"/>
              <w:spacing w:before="143" w:line="313" w:lineRule="auto"/>
              <w:ind w:left="11" w:right="36" w:hanging="1"/>
              <w:jc w:val="both"/>
              <w:rPr>
                <w:rFonts w:hint="default"/>
                <w:spacing w:val="8"/>
                <w:sz w:val="22"/>
                <w:szCs w:val="22"/>
                <w:lang w:val="en-US" w:eastAsia="zh-CN"/>
              </w:rPr>
            </w:pPr>
            <w:r>
              <w:rPr>
                <w:rFonts w:hint="eastAsia"/>
                <w:spacing w:val="8"/>
                <w:sz w:val="22"/>
                <w:szCs w:val="22"/>
                <w:lang w:val="en-US" w:eastAsia="zh-CN"/>
              </w:rPr>
              <w:t>15分</w:t>
            </w:r>
          </w:p>
        </w:tc>
        <w:tc>
          <w:tcPr>
            <w:tcW w:w="7349" w:type="dxa"/>
            <w:vAlign w:val="top"/>
          </w:tcPr>
          <w:p w14:paraId="1B715D06">
            <w:pPr>
              <w:pStyle w:val="7"/>
              <w:spacing w:before="143" w:line="313" w:lineRule="auto"/>
              <w:ind w:left="11" w:right="36" w:hanging="1"/>
              <w:jc w:val="both"/>
              <w:rPr>
                <w:rFonts w:hint="eastAsia"/>
                <w:spacing w:val="8"/>
                <w:sz w:val="22"/>
                <w:szCs w:val="22"/>
              </w:rPr>
            </w:pPr>
            <w:r>
              <w:rPr>
                <w:rFonts w:hint="eastAsia"/>
                <w:spacing w:val="8"/>
                <w:sz w:val="22"/>
                <w:szCs w:val="22"/>
                <w:lang w:val="en-US" w:eastAsia="zh-CN"/>
              </w:rPr>
              <w:t>1、</w:t>
            </w:r>
            <w:r>
              <w:rPr>
                <w:rFonts w:hint="eastAsia"/>
                <w:spacing w:val="8"/>
                <w:sz w:val="22"/>
                <w:szCs w:val="22"/>
              </w:rPr>
              <w:t>售后服务方案：根据响应人针对本项目所提供的售后服务方案进行评价，方案应包括：（1）在项目所在市（州）具有售后服务点（提供证明材料）或承诺中标公共发布之日起7个日历日内成立售后服务点的承诺函：（2）配备售后服务技术团队，不少于2人，提供人员姓名及联系方式；（3）应急维修措施方案；（4）售后服务响应时间：根据响应人承诺接到维修通知后维修工程师到达项目现场的时间（单位：小时）进行评价，须根据实际情况在响应文件中提供独立的承诺函</w:t>
            </w:r>
            <w:r>
              <w:rPr>
                <w:rFonts w:hint="eastAsia"/>
                <w:spacing w:val="8"/>
                <w:sz w:val="22"/>
                <w:szCs w:val="22"/>
                <w:lang w:eastAsia="zh-CN"/>
              </w:rPr>
              <w:t>，提供项目服务5年维保，</w:t>
            </w:r>
            <w:r>
              <w:rPr>
                <w:rFonts w:hint="eastAsia"/>
                <w:spacing w:val="8"/>
                <w:sz w:val="22"/>
                <w:szCs w:val="22"/>
                <w:lang w:val="en-US" w:eastAsia="zh-CN"/>
              </w:rPr>
              <w:t>供应商须出具项目服务5年维保承诺函</w:t>
            </w:r>
            <w:r>
              <w:rPr>
                <w:rFonts w:hint="eastAsia"/>
                <w:spacing w:val="8"/>
                <w:sz w:val="22"/>
                <w:szCs w:val="22"/>
              </w:rPr>
              <w:t>；备注：投标人提供的售后服务方案全部包含上述内容得</w:t>
            </w:r>
            <w:r>
              <w:rPr>
                <w:rFonts w:hint="eastAsia"/>
                <w:spacing w:val="8"/>
                <w:sz w:val="22"/>
                <w:szCs w:val="22"/>
                <w:lang w:val="en-US" w:eastAsia="zh-CN"/>
              </w:rPr>
              <w:t>5</w:t>
            </w:r>
            <w:r>
              <w:rPr>
                <w:rFonts w:hint="eastAsia"/>
                <w:spacing w:val="8"/>
                <w:sz w:val="22"/>
                <w:szCs w:val="22"/>
              </w:rPr>
              <w:t>分，每少一项不得分。</w:t>
            </w:r>
          </w:p>
          <w:p w14:paraId="6CA94855">
            <w:pPr>
              <w:pStyle w:val="7"/>
              <w:spacing w:before="143" w:line="313" w:lineRule="auto"/>
              <w:ind w:left="11" w:right="36" w:hanging="1"/>
              <w:jc w:val="both"/>
              <w:rPr>
                <w:rFonts w:hint="eastAsia"/>
                <w:spacing w:val="8"/>
                <w:sz w:val="22"/>
                <w:szCs w:val="22"/>
              </w:rPr>
            </w:pPr>
            <w:r>
              <w:rPr>
                <w:rFonts w:hint="eastAsia"/>
                <w:spacing w:val="8"/>
                <w:sz w:val="22"/>
                <w:szCs w:val="22"/>
                <w:lang w:val="en-US" w:eastAsia="zh-CN"/>
              </w:rPr>
              <w:t>2、</w:t>
            </w:r>
            <w:r>
              <w:rPr>
                <w:rFonts w:hint="eastAsia"/>
                <w:spacing w:val="8"/>
                <w:sz w:val="22"/>
                <w:szCs w:val="22"/>
              </w:rPr>
              <w:t>提供此次项目采购的厂家产品授权书、产品质保承诺函</w:t>
            </w:r>
            <w:r>
              <w:rPr>
                <w:rFonts w:hint="eastAsia"/>
                <w:spacing w:val="8"/>
                <w:sz w:val="22"/>
                <w:szCs w:val="22"/>
                <w:lang w:eastAsia="zh-CN"/>
              </w:rPr>
              <w:t>（</w:t>
            </w:r>
            <w:r>
              <w:rPr>
                <w:rFonts w:hint="eastAsia"/>
                <w:spacing w:val="8"/>
                <w:sz w:val="22"/>
                <w:szCs w:val="22"/>
                <w:lang w:val="en-US" w:eastAsia="zh-CN"/>
              </w:rPr>
              <w:t>3年</w:t>
            </w:r>
            <w:r>
              <w:rPr>
                <w:rFonts w:hint="eastAsia"/>
                <w:spacing w:val="8"/>
                <w:sz w:val="22"/>
                <w:szCs w:val="22"/>
                <w:lang w:eastAsia="zh-CN"/>
              </w:rPr>
              <w:t>）</w:t>
            </w:r>
            <w:r>
              <w:rPr>
                <w:rFonts w:hint="eastAsia"/>
                <w:spacing w:val="8"/>
                <w:sz w:val="22"/>
                <w:szCs w:val="22"/>
              </w:rPr>
              <w:t>并加盖公章：响应人提供所投产品的产品厂商授权书和产品质保承诺函</w:t>
            </w:r>
            <w:r>
              <w:rPr>
                <w:rFonts w:hint="eastAsia"/>
                <w:spacing w:val="8"/>
                <w:sz w:val="22"/>
                <w:szCs w:val="22"/>
                <w:lang w:eastAsia="zh-CN"/>
              </w:rPr>
              <w:t>（</w:t>
            </w:r>
            <w:r>
              <w:rPr>
                <w:rFonts w:hint="eastAsia"/>
                <w:spacing w:val="8"/>
                <w:sz w:val="22"/>
                <w:szCs w:val="22"/>
                <w:lang w:val="en-US" w:eastAsia="zh-CN"/>
              </w:rPr>
              <w:t>3年</w:t>
            </w:r>
            <w:r>
              <w:rPr>
                <w:rFonts w:hint="eastAsia"/>
                <w:spacing w:val="8"/>
                <w:sz w:val="22"/>
                <w:szCs w:val="22"/>
                <w:lang w:eastAsia="zh-CN"/>
              </w:rPr>
              <w:t>）</w:t>
            </w:r>
            <w:r>
              <w:rPr>
                <w:rFonts w:hint="eastAsia"/>
                <w:spacing w:val="8"/>
                <w:sz w:val="22"/>
                <w:szCs w:val="22"/>
              </w:rPr>
              <w:t>原件扫描件“或”响应人为所投产品厂商的仅须提供产品质保承诺函</w:t>
            </w:r>
            <w:r>
              <w:rPr>
                <w:rFonts w:hint="eastAsia"/>
                <w:spacing w:val="8"/>
                <w:sz w:val="22"/>
                <w:szCs w:val="22"/>
                <w:lang w:eastAsia="zh-CN"/>
              </w:rPr>
              <w:t>（</w:t>
            </w:r>
            <w:r>
              <w:rPr>
                <w:rFonts w:hint="eastAsia"/>
                <w:spacing w:val="8"/>
                <w:sz w:val="22"/>
                <w:szCs w:val="22"/>
                <w:lang w:val="en-US" w:eastAsia="zh-CN"/>
              </w:rPr>
              <w:t>3年</w:t>
            </w:r>
            <w:r>
              <w:rPr>
                <w:rFonts w:hint="eastAsia"/>
                <w:spacing w:val="8"/>
                <w:sz w:val="22"/>
                <w:szCs w:val="22"/>
                <w:lang w:eastAsia="zh-CN"/>
              </w:rPr>
              <w:t>）</w:t>
            </w:r>
            <w:r>
              <w:rPr>
                <w:rFonts w:hint="eastAsia"/>
                <w:spacing w:val="8"/>
                <w:sz w:val="22"/>
                <w:szCs w:val="22"/>
              </w:rPr>
              <w:t>原件扫描件得</w:t>
            </w:r>
            <w:r>
              <w:rPr>
                <w:rFonts w:hint="eastAsia"/>
                <w:spacing w:val="8"/>
                <w:sz w:val="22"/>
                <w:szCs w:val="22"/>
                <w:lang w:val="en-US" w:eastAsia="zh-CN"/>
              </w:rPr>
              <w:t>5</w:t>
            </w:r>
            <w:r>
              <w:rPr>
                <w:rFonts w:hint="eastAsia"/>
                <w:spacing w:val="8"/>
                <w:sz w:val="22"/>
                <w:szCs w:val="22"/>
              </w:rPr>
              <w:t>分，不提供不得分。</w:t>
            </w:r>
          </w:p>
          <w:p w14:paraId="0BB3A93E">
            <w:pPr>
              <w:pStyle w:val="7"/>
              <w:spacing w:before="143" w:line="313" w:lineRule="auto"/>
              <w:ind w:left="11" w:right="36" w:hanging="1"/>
              <w:jc w:val="both"/>
              <w:rPr>
                <w:rFonts w:hint="eastAsia"/>
                <w:spacing w:val="8"/>
                <w:sz w:val="22"/>
                <w:szCs w:val="22"/>
                <w:lang w:val="en-US" w:eastAsia="zh-CN"/>
              </w:rPr>
            </w:pPr>
            <w:r>
              <w:rPr>
                <w:rFonts w:hint="eastAsia"/>
                <w:spacing w:val="8"/>
                <w:sz w:val="22"/>
                <w:szCs w:val="22"/>
                <w:lang w:val="en-US" w:eastAsia="zh-CN"/>
              </w:rPr>
              <w:t>3、</w:t>
            </w:r>
            <w:r>
              <w:rPr>
                <w:rFonts w:hint="eastAsia"/>
                <w:spacing w:val="8"/>
                <w:sz w:val="22"/>
                <w:szCs w:val="22"/>
              </w:rPr>
              <w:t>产品厂商在贵州地区设立有备品备件库，</w:t>
            </w:r>
            <w:r>
              <w:rPr>
                <w:spacing w:val="8"/>
                <w:sz w:val="22"/>
                <w:szCs w:val="22"/>
              </w:rPr>
              <w:t xml:space="preserve">可以提供快速技术支持，出现严重故障可 </w:t>
            </w:r>
            <w:r>
              <w:rPr>
                <w:rFonts w:hint="eastAsia"/>
                <w:spacing w:val="8"/>
                <w:sz w:val="22"/>
                <w:szCs w:val="22"/>
                <w:lang w:val="en-US" w:eastAsia="zh-CN"/>
              </w:rPr>
              <w:t>3</w:t>
            </w:r>
            <w:r>
              <w:rPr>
                <w:spacing w:val="8"/>
                <w:sz w:val="22"/>
                <w:szCs w:val="22"/>
              </w:rPr>
              <w:t xml:space="preserve"> 小时内到达客户现场</w:t>
            </w:r>
            <w:r>
              <w:rPr>
                <w:rFonts w:hint="eastAsia"/>
                <w:spacing w:val="8"/>
                <w:sz w:val="22"/>
                <w:szCs w:val="22"/>
              </w:rPr>
              <w:t>，须</w:t>
            </w:r>
            <w:r>
              <w:rPr>
                <w:spacing w:val="8"/>
                <w:sz w:val="22"/>
                <w:szCs w:val="22"/>
              </w:rPr>
              <w:t>提供</w:t>
            </w:r>
            <w:r>
              <w:rPr>
                <w:rFonts w:hint="eastAsia"/>
                <w:spacing w:val="8"/>
                <w:sz w:val="22"/>
                <w:szCs w:val="22"/>
              </w:rPr>
              <w:t>厂商在</w:t>
            </w:r>
            <w:r>
              <w:rPr>
                <w:spacing w:val="8"/>
                <w:sz w:val="22"/>
                <w:szCs w:val="22"/>
              </w:rPr>
              <w:t>贵州本地的社保证明并加盖公章。</w:t>
            </w:r>
            <w:r>
              <w:rPr>
                <w:rFonts w:hint="eastAsia"/>
                <w:spacing w:val="8"/>
                <w:sz w:val="22"/>
                <w:szCs w:val="22"/>
              </w:rPr>
              <w:t>根据备件库库存产品种类、数量、响应时效性进行综合评估，备品备件充足种类多得 3-5 分；有备品备件库，备品备件不充足 1-2 分；无备件库不得分。须提供厂商在贵州设立有备品备件库的相关证明材料并加盖公章；</w:t>
            </w:r>
          </w:p>
        </w:tc>
      </w:tr>
      <w:tr w14:paraId="5FB4D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1506" w:type="dxa"/>
            <w:vAlign w:val="top"/>
          </w:tcPr>
          <w:p w14:paraId="307868FA">
            <w:pPr>
              <w:pStyle w:val="7"/>
              <w:spacing w:before="143" w:line="313" w:lineRule="auto"/>
              <w:ind w:left="11" w:right="36" w:hanging="1"/>
              <w:jc w:val="both"/>
              <w:rPr>
                <w:rFonts w:hint="default"/>
                <w:spacing w:val="8"/>
                <w:sz w:val="22"/>
                <w:szCs w:val="22"/>
                <w:lang w:val="en-US" w:eastAsia="zh-CN"/>
              </w:rPr>
            </w:pPr>
            <w:r>
              <w:rPr>
                <w:rFonts w:hint="eastAsia"/>
                <w:spacing w:val="8"/>
                <w:sz w:val="22"/>
                <w:szCs w:val="22"/>
                <w:lang w:val="en-US" w:eastAsia="zh-CN"/>
              </w:rPr>
              <w:t>项目实施方案</w:t>
            </w:r>
          </w:p>
        </w:tc>
        <w:tc>
          <w:tcPr>
            <w:tcW w:w="803" w:type="dxa"/>
            <w:vAlign w:val="top"/>
          </w:tcPr>
          <w:p w14:paraId="2BE3FCF6">
            <w:pPr>
              <w:pStyle w:val="7"/>
              <w:spacing w:before="143" w:line="313" w:lineRule="auto"/>
              <w:ind w:left="11" w:right="36" w:hanging="1"/>
              <w:jc w:val="both"/>
              <w:rPr>
                <w:rFonts w:hint="default"/>
                <w:spacing w:val="8"/>
                <w:sz w:val="22"/>
                <w:szCs w:val="22"/>
                <w:lang w:val="en-US" w:eastAsia="zh-CN"/>
              </w:rPr>
            </w:pPr>
            <w:r>
              <w:rPr>
                <w:rFonts w:hint="eastAsia"/>
                <w:spacing w:val="8"/>
                <w:sz w:val="22"/>
                <w:szCs w:val="22"/>
                <w:lang w:val="en-US" w:eastAsia="zh-CN"/>
              </w:rPr>
              <w:t>10分</w:t>
            </w:r>
          </w:p>
        </w:tc>
        <w:tc>
          <w:tcPr>
            <w:tcW w:w="7349" w:type="dxa"/>
            <w:vAlign w:val="top"/>
          </w:tcPr>
          <w:p w14:paraId="081447CF">
            <w:pPr>
              <w:pStyle w:val="7"/>
              <w:spacing w:before="143" w:line="313" w:lineRule="auto"/>
              <w:ind w:left="11" w:right="36" w:hanging="1"/>
              <w:jc w:val="both"/>
              <w:rPr>
                <w:rFonts w:hint="eastAsia"/>
                <w:spacing w:val="8"/>
                <w:sz w:val="22"/>
                <w:szCs w:val="22"/>
              </w:rPr>
            </w:pPr>
            <w:r>
              <w:rPr>
                <w:rFonts w:hint="eastAsia"/>
                <w:spacing w:val="8"/>
                <w:sz w:val="22"/>
                <w:szCs w:val="22"/>
                <w:lang w:val="en-US" w:eastAsia="zh-CN"/>
              </w:rPr>
              <w:t>1、供应商</w:t>
            </w:r>
            <w:r>
              <w:rPr>
                <w:rFonts w:hint="eastAsia"/>
                <w:spacing w:val="8"/>
                <w:sz w:val="22"/>
                <w:szCs w:val="22"/>
              </w:rPr>
              <w:t>须提供详细的实施交付方案，方案详尽、科学、合理，项目团队人员配备（须提供信息系统项目管理师、网络工程师）3人以上工程师</w:t>
            </w:r>
            <w:r>
              <w:rPr>
                <w:rFonts w:hint="eastAsia"/>
                <w:spacing w:val="8"/>
                <w:sz w:val="22"/>
                <w:szCs w:val="22"/>
                <w:lang w:val="en-US" w:eastAsia="zh-CN"/>
              </w:rPr>
              <w:t>且人员配备须公司提供缴纳的社保证明材料</w:t>
            </w:r>
            <w:r>
              <w:rPr>
                <w:rFonts w:hint="eastAsia"/>
                <w:spacing w:val="8"/>
                <w:sz w:val="22"/>
                <w:szCs w:val="22"/>
              </w:rPr>
              <w:t>，人员分工合理，项目实施关键时间节点清晰，项目进度控制措施清晰。优得</w:t>
            </w:r>
            <w:r>
              <w:rPr>
                <w:rFonts w:hint="eastAsia"/>
                <w:spacing w:val="8"/>
                <w:sz w:val="22"/>
                <w:szCs w:val="22"/>
                <w:lang w:val="en-US" w:eastAsia="zh-CN"/>
              </w:rPr>
              <w:t>5</w:t>
            </w:r>
            <w:r>
              <w:rPr>
                <w:spacing w:val="8"/>
                <w:sz w:val="22"/>
                <w:szCs w:val="22"/>
              </w:rPr>
              <w:t>分，良得</w:t>
            </w:r>
            <w:r>
              <w:rPr>
                <w:rFonts w:hint="eastAsia"/>
                <w:spacing w:val="8"/>
                <w:sz w:val="22"/>
                <w:szCs w:val="22"/>
                <w:lang w:val="en-US" w:eastAsia="zh-CN"/>
              </w:rPr>
              <w:t>3</w:t>
            </w:r>
            <w:r>
              <w:rPr>
                <w:spacing w:val="8"/>
                <w:sz w:val="22"/>
                <w:szCs w:val="22"/>
              </w:rPr>
              <w:t>分，一般</w:t>
            </w:r>
            <w:r>
              <w:rPr>
                <w:rFonts w:hint="eastAsia"/>
                <w:spacing w:val="8"/>
                <w:sz w:val="22"/>
                <w:szCs w:val="22"/>
                <w:lang w:val="en-US" w:eastAsia="zh-CN"/>
              </w:rPr>
              <w:t>1</w:t>
            </w:r>
            <w:r>
              <w:rPr>
                <w:spacing w:val="8"/>
                <w:sz w:val="22"/>
                <w:szCs w:val="22"/>
              </w:rPr>
              <w:t>分，未提供则不得分</w:t>
            </w:r>
            <w:r>
              <w:rPr>
                <w:rFonts w:hint="eastAsia"/>
                <w:spacing w:val="8"/>
                <w:sz w:val="22"/>
                <w:szCs w:val="22"/>
              </w:rPr>
              <w:t>。</w:t>
            </w:r>
          </w:p>
          <w:p w14:paraId="7FB3593E">
            <w:pPr>
              <w:pStyle w:val="7"/>
              <w:spacing w:before="143" w:line="313" w:lineRule="auto"/>
              <w:ind w:left="11" w:right="36" w:hanging="1"/>
              <w:jc w:val="both"/>
              <w:rPr>
                <w:rFonts w:hint="default"/>
                <w:spacing w:val="8"/>
                <w:sz w:val="22"/>
                <w:szCs w:val="22"/>
                <w:lang w:val="en-US" w:eastAsia="zh-CN"/>
              </w:rPr>
            </w:pPr>
            <w:r>
              <w:rPr>
                <w:rFonts w:hint="eastAsia"/>
                <w:spacing w:val="8"/>
                <w:sz w:val="22"/>
                <w:szCs w:val="22"/>
                <w:lang w:val="en-US" w:eastAsia="zh-CN"/>
              </w:rPr>
              <w:t>2、</w:t>
            </w:r>
            <w:r>
              <w:rPr>
                <w:rFonts w:hint="default"/>
                <w:spacing w:val="8"/>
                <w:sz w:val="22"/>
                <w:szCs w:val="22"/>
                <w:lang w:val="en-US" w:eastAsia="zh-CN"/>
              </w:rPr>
              <w:t>此次采购属于集成联动项目安装，须联动相关物联网平台及信号转换，为保障项目交付实施过程质量及服务标准，供应商须具备信息系统安全集成服务二级和信息系统安全运维服务二级的能力认证</w:t>
            </w:r>
            <w:r>
              <w:rPr>
                <w:rFonts w:hint="eastAsia"/>
                <w:spacing w:val="8"/>
                <w:sz w:val="22"/>
                <w:szCs w:val="22"/>
                <w:lang w:val="en-US" w:eastAsia="zh-CN"/>
              </w:rPr>
              <w:t>，供应商提供</w:t>
            </w:r>
            <w:r>
              <w:rPr>
                <w:rFonts w:hint="eastAsia"/>
                <w:spacing w:val="8"/>
                <w:sz w:val="22"/>
                <w:szCs w:val="22"/>
              </w:rPr>
              <w:t>原件扫描件</w:t>
            </w:r>
            <w:r>
              <w:rPr>
                <w:rFonts w:hint="eastAsia"/>
                <w:spacing w:val="8"/>
                <w:sz w:val="22"/>
                <w:szCs w:val="22"/>
                <w:lang w:val="en-US" w:eastAsia="zh-CN"/>
              </w:rPr>
              <w:t>并加盖公章</w:t>
            </w:r>
            <w:r>
              <w:rPr>
                <w:rFonts w:hint="eastAsia"/>
                <w:spacing w:val="8"/>
                <w:sz w:val="22"/>
                <w:szCs w:val="22"/>
              </w:rPr>
              <w:t>得</w:t>
            </w:r>
            <w:r>
              <w:rPr>
                <w:rFonts w:hint="eastAsia"/>
                <w:spacing w:val="8"/>
                <w:sz w:val="22"/>
                <w:szCs w:val="22"/>
                <w:lang w:val="en-US" w:eastAsia="zh-CN"/>
              </w:rPr>
              <w:t>5</w:t>
            </w:r>
            <w:r>
              <w:rPr>
                <w:rFonts w:hint="eastAsia"/>
                <w:spacing w:val="8"/>
                <w:sz w:val="22"/>
                <w:szCs w:val="22"/>
              </w:rPr>
              <w:t>分，不提供不得分。</w:t>
            </w:r>
          </w:p>
        </w:tc>
      </w:tr>
    </w:tbl>
    <w:p w14:paraId="3576CBA8">
      <w:pPr>
        <w:pStyle w:val="7"/>
        <w:spacing w:before="143" w:line="313" w:lineRule="auto"/>
        <w:ind w:left="11" w:right="36" w:hanging="1"/>
        <w:jc w:val="both"/>
        <w:rPr>
          <w:rFonts w:hint="eastAsia"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 xml:space="preserve"> </w:t>
      </w:r>
      <w:r>
        <w:rPr>
          <w:rFonts w:hint="eastAsia" w:ascii="仿宋" w:hAnsi="仿宋" w:eastAsia="仿宋" w:cs="仿宋"/>
          <w:kern w:val="2"/>
          <w:sz w:val="28"/>
          <w:szCs w:val="28"/>
          <w:highlight w:val="none"/>
          <w:lang w:val="en-US" w:eastAsia="zh-CN" w:bidi="ar-SA"/>
        </w:rPr>
        <w:t>三</w:t>
      </w:r>
      <w:r>
        <w:rPr>
          <w:rFonts w:hint="default" w:ascii="仿宋" w:hAnsi="仿宋" w:eastAsia="仿宋" w:cs="仿宋"/>
          <w:kern w:val="2"/>
          <w:sz w:val="28"/>
          <w:szCs w:val="28"/>
          <w:highlight w:val="none"/>
          <w:lang w:val="en-US" w:eastAsia="zh-CN" w:bidi="ar-SA"/>
        </w:rPr>
        <w:t>、</w:t>
      </w:r>
      <w:r>
        <w:rPr>
          <w:rFonts w:hint="eastAsia" w:ascii="仿宋" w:hAnsi="仿宋" w:eastAsia="仿宋" w:cs="仿宋"/>
          <w:kern w:val="2"/>
          <w:sz w:val="28"/>
          <w:szCs w:val="28"/>
          <w:highlight w:val="none"/>
          <w:lang w:val="en-US" w:eastAsia="zh-CN" w:bidi="ar-SA"/>
        </w:rPr>
        <w:t>磋商流程</w:t>
      </w:r>
    </w:p>
    <w:p w14:paraId="4328AF5F">
      <w:pPr>
        <w:ind w:right="28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1.评审</w:t>
      </w:r>
      <w:r>
        <w:rPr>
          <w:rFonts w:hint="default" w:ascii="仿宋" w:hAnsi="仿宋" w:eastAsia="仿宋" w:cs="仿宋"/>
          <w:sz w:val="28"/>
          <w:szCs w:val="28"/>
          <w:highlight w:val="none"/>
          <w:lang w:val="en-US" w:eastAsia="zh-CN"/>
        </w:rPr>
        <w:t>小组</w:t>
      </w:r>
      <w:r>
        <w:rPr>
          <w:rFonts w:hint="eastAsia" w:ascii="仿宋" w:hAnsi="仿宋" w:eastAsia="仿宋" w:cs="仿宋"/>
          <w:sz w:val="28"/>
          <w:szCs w:val="28"/>
          <w:highlight w:val="none"/>
          <w:lang w:val="en-US" w:eastAsia="zh-CN"/>
        </w:rPr>
        <w:t>根据现场情况</w:t>
      </w:r>
      <w:r>
        <w:rPr>
          <w:rFonts w:hint="default" w:ascii="仿宋" w:hAnsi="仿宋" w:eastAsia="仿宋" w:cs="仿宋"/>
          <w:sz w:val="28"/>
          <w:szCs w:val="28"/>
          <w:highlight w:val="none"/>
          <w:lang w:val="en-US" w:eastAsia="zh-CN"/>
        </w:rPr>
        <w:t>，与各供应商进行磋商。磋商内容包括：报价、 技术要求、交货期、交货地点、要求提供的商务和技术相关文件、服务等。</w:t>
      </w:r>
    </w:p>
    <w:p w14:paraId="270BB8C2">
      <w:pPr>
        <w:ind w:right="28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default" w:ascii="仿宋" w:hAnsi="仿宋" w:eastAsia="仿宋" w:cs="仿宋"/>
          <w:sz w:val="28"/>
          <w:szCs w:val="28"/>
          <w:highlight w:val="none"/>
          <w:lang w:val="en-US" w:eastAsia="zh-CN"/>
        </w:rPr>
        <w:t>.响应文件的澄清:对响应文件中含义不明确、同类问题表述不一致或者有明显文字和计算错误的内容，评审小组可以要求供应商作出必要的澄清、说明或者纠正；供应商的的澄清、 说明或者补正应当采用书面形式，由其授权的代表签字。</w:t>
      </w:r>
    </w:p>
    <w:p w14:paraId="1661F778">
      <w:pPr>
        <w:ind w:right="28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r>
        <w:rPr>
          <w:rFonts w:hint="default" w:ascii="仿宋" w:hAnsi="仿宋" w:eastAsia="仿宋" w:cs="仿宋"/>
          <w:sz w:val="28"/>
          <w:szCs w:val="28"/>
          <w:highlight w:val="none"/>
          <w:lang w:val="en-US" w:eastAsia="zh-CN"/>
        </w:rPr>
        <w:t xml:space="preserve">.评审小组根据供应商的响应内容及磋商情况，要求各供应商在规定时间内进行最后报价（该报价将作为评审推荐成交的依据），并由磋商供应商法人或被授权代表签署或加盖公章。 </w:t>
      </w:r>
    </w:p>
    <w:p w14:paraId="64E8F907">
      <w:pPr>
        <w:ind w:right="28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r>
        <w:rPr>
          <w:rFonts w:hint="default" w:ascii="仿宋" w:hAnsi="仿宋" w:eastAsia="仿宋" w:cs="仿宋"/>
          <w:sz w:val="28"/>
          <w:szCs w:val="28"/>
          <w:highlight w:val="none"/>
          <w:lang w:val="en-US" w:eastAsia="zh-CN"/>
        </w:rPr>
        <w:t>.磋商供应商最终磋商总报价在货物数量没有增加、配置和服务没有重大提高的情况下， 不允许高于前一次报价。</w:t>
      </w:r>
    </w:p>
    <w:p w14:paraId="348E677B">
      <w:pPr>
        <w:ind w:right="28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r>
        <w:rPr>
          <w:rFonts w:hint="default" w:ascii="仿宋" w:hAnsi="仿宋" w:eastAsia="仿宋" w:cs="仿宋"/>
          <w:sz w:val="28"/>
          <w:szCs w:val="28"/>
          <w:highlight w:val="none"/>
          <w:lang w:val="en-US" w:eastAsia="zh-CN"/>
        </w:rPr>
        <w:t>.磋商过程中，评审小组应给予每个正在参加磋商的供应商相同的机会。被评审小组认定为未实质性响应要求的，不再进入下一轮磋商报价。</w:t>
      </w:r>
    </w:p>
    <w:p w14:paraId="194950A5">
      <w:pPr>
        <w:ind w:right="28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r>
        <w:rPr>
          <w:rFonts w:hint="default" w:ascii="仿宋" w:hAnsi="仿宋" w:eastAsia="仿宋" w:cs="仿宋"/>
          <w:sz w:val="28"/>
          <w:szCs w:val="28"/>
          <w:highlight w:val="none"/>
          <w:lang w:val="en-US" w:eastAsia="zh-CN"/>
        </w:rPr>
        <w:t>.磋商过程中，若遇到本磋商</w:t>
      </w:r>
      <w:r>
        <w:rPr>
          <w:rFonts w:hint="eastAsia" w:ascii="仿宋" w:hAnsi="仿宋" w:eastAsia="仿宋" w:cs="仿宋"/>
          <w:sz w:val="28"/>
          <w:szCs w:val="28"/>
          <w:highlight w:val="none"/>
          <w:lang w:val="en-US" w:eastAsia="zh-CN"/>
        </w:rPr>
        <w:t>办法</w:t>
      </w:r>
      <w:r>
        <w:rPr>
          <w:rFonts w:hint="default" w:ascii="仿宋" w:hAnsi="仿宋" w:eastAsia="仿宋" w:cs="仿宋"/>
          <w:sz w:val="28"/>
          <w:szCs w:val="28"/>
          <w:highlight w:val="none"/>
          <w:lang w:val="en-US" w:eastAsia="zh-CN"/>
        </w:rPr>
        <w:t>未有预见、或目前法律、法规未有规定的问题， 则由评审小组成员依据政府采购相关法律法规，集体商议决定。</w:t>
      </w:r>
    </w:p>
    <w:p w14:paraId="28EAECC6">
      <w:pPr>
        <w:ind w:right="28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r>
        <w:rPr>
          <w:rFonts w:hint="default" w:ascii="仿宋" w:hAnsi="仿宋" w:eastAsia="仿宋" w:cs="仿宋"/>
          <w:sz w:val="28"/>
          <w:szCs w:val="28"/>
          <w:highlight w:val="none"/>
          <w:lang w:val="en-US" w:eastAsia="zh-CN"/>
        </w:rPr>
        <w:t>.评审小组对磋商情况进行综合评议后，按照“评分标准”对提交最后报价的供应商的响应文件和最后报价进行综合评分，并编写评审报告。</w:t>
      </w:r>
    </w:p>
    <w:p w14:paraId="5A550C7B">
      <w:pPr>
        <w:ind w:right="28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四、评分表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4"/>
        <w:gridCol w:w="1927"/>
        <w:gridCol w:w="1927"/>
        <w:gridCol w:w="2176"/>
      </w:tblGrid>
      <w:tr w14:paraId="4348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1" w:type="dxa"/>
          </w:tcPr>
          <w:p w14:paraId="62DD63ED">
            <w:pPr>
              <w:ind w:right="280"/>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评分标准</w:t>
            </w:r>
          </w:p>
        </w:tc>
        <w:tc>
          <w:tcPr>
            <w:tcW w:w="1971" w:type="dxa"/>
          </w:tcPr>
          <w:p w14:paraId="2EF90C07">
            <w:pPr>
              <w:ind w:right="280"/>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供应商名称1</w:t>
            </w:r>
          </w:p>
        </w:tc>
        <w:tc>
          <w:tcPr>
            <w:tcW w:w="1971" w:type="dxa"/>
          </w:tcPr>
          <w:p w14:paraId="5CB03218">
            <w:pPr>
              <w:ind w:right="280"/>
              <w:jc w:val="center"/>
              <w:rPr>
                <w:rFonts w:hint="default" w:ascii="仿宋" w:hAnsi="仿宋" w:eastAsia="仿宋" w:cs="仿宋"/>
                <w:sz w:val="28"/>
                <w:szCs w:val="28"/>
                <w:highlight w:val="none"/>
                <w:vertAlign w:val="baseline"/>
                <w:lang w:val="en-US" w:eastAsia="zh-CN"/>
              </w:rPr>
            </w:pPr>
            <w:r>
              <w:rPr>
                <w:rFonts w:hint="default" w:ascii="仿宋" w:hAnsi="仿宋" w:eastAsia="仿宋" w:cs="仿宋"/>
                <w:sz w:val="28"/>
                <w:szCs w:val="28"/>
                <w:highlight w:val="none"/>
                <w:vertAlign w:val="baseline"/>
                <w:lang w:val="en-US" w:eastAsia="zh-CN"/>
              </w:rPr>
              <w:t>供应商名称</w:t>
            </w:r>
            <w:r>
              <w:rPr>
                <w:rFonts w:hint="eastAsia" w:ascii="仿宋" w:hAnsi="仿宋" w:eastAsia="仿宋" w:cs="仿宋"/>
                <w:sz w:val="28"/>
                <w:szCs w:val="28"/>
                <w:highlight w:val="none"/>
                <w:vertAlign w:val="baseline"/>
                <w:lang w:val="en-US" w:eastAsia="zh-CN"/>
              </w:rPr>
              <w:t>2</w:t>
            </w:r>
          </w:p>
        </w:tc>
        <w:tc>
          <w:tcPr>
            <w:tcW w:w="1971" w:type="dxa"/>
          </w:tcPr>
          <w:p w14:paraId="4C3AF786">
            <w:pPr>
              <w:ind w:right="280"/>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w:t>
            </w:r>
          </w:p>
        </w:tc>
      </w:tr>
      <w:tr w14:paraId="76A1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1" w:type="dxa"/>
          </w:tcPr>
          <w:p w14:paraId="685696A9">
            <w:pPr>
              <w:ind w:right="280"/>
              <w:jc w:val="center"/>
              <w:rPr>
                <w:rFonts w:hint="default" w:ascii="仿宋" w:hAnsi="仿宋" w:eastAsia="仿宋" w:cs="仿宋"/>
                <w:sz w:val="28"/>
                <w:szCs w:val="28"/>
                <w:highlight w:val="none"/>
                <w:vertAlign w:val="baseline"/>
                <w:lang w:val="en-US" w:eastAsia="zh-CN"/>
              </w:rPr>
            </w:pPr>
            <w:r>
              <w:rPr>
                <w:rFonts w:hint="default" w:ascii="仿宋" w:hAnsi="仿宋" w:eastAsia="仿宋" w:cs="仿宋"/>
                <w:sz w:val="28"/>
                <w:szCs w:val="28"/>
                <w:highlight w:val="none"/>
                <w:vertAlign w:val="baseline"/>
                <w:lang w:val="en-US" w:eastAsia="zh-CN"/>
              </w:rPr>
              <w:t>投标报价</w:t>
            </w:r>
            <w:r>
              <w:rPr>
                <w:rFonts w:hint="eastAsia" w:ascii="仿宋" w:hAnsi="仿宋" w:eastAsia="仿宋" w:cs="仿宋"/>
                <w:sz w:val="28"/>
                <w:szCs w:val="28"/>
                <w:highlight w:val="none"/>
                <w:vertAlign w:val="baseline"/>
                <w:lang w:val="en-US" w:eastAsia="zh-CN"/>
              </w:rPr>
              <w:t>30分</w:t>
            </w:r>
          </w:p>
        </w:tc>
        <w:tc>
          <w:tcPr>
            <w:tcW w:w="1971" w:type="dxa"/>
          </w:tcPr>
          <w:p w14:paraId="37AED738">
            <w:pPr>
              <w:ind w:right="280"/>
              <w:jc w:val="center"/>
              <w:rPr>
                <w:rFonts w:hint="default" w:ascii="仿宋" w:hAnsi="仿宋" w:eastAsia="仿宋" w:cs="仿宋"/>
                <w:sz w:val="28"/>
                <w:szCs w:val="28"/>
                <w:highlight w:val="none"/>
                <w:vertAlign w:val="baseline"/>
                <w:lang w:val="en-US" w:eastAsia="zh-CN"/>
              </w:rPr>
            </w:pPr>
          </w:p>
        </w:tc>
        <w:tc>
          <w:tcPr>
            <w:tcW w:w="1971" w:type="dxa"/>
          </w:tcPr>
          <w:p w14:paraId="322C5F25">
            <w:pPr>
              <w:ind w:right="280"/>
              <w:jc w:val="center"/>
              <w:rPr>
                <w:rFonts w:hint="default" w:ascii="仿宋" w:hAnsi="仿宋" w:eastAsia="仿宋" w:cs="仿宋"/>
                <w:sz w:val="28"/>
                <w:szCs w:val="28"/>
                <w:highlight w:val="none"/>
                <w:vertAlign w:val="baseline"/>
                <w:lang w:val="en-US" w:eastAsia="zh-CN"/>
              </w:rPr>
            </w:pPr>
          </w:p>
        </w:tc>
        <w:tc>
          <w:tcPr>
            <w:tcW w:w="1971" w:type="dxa"/>
          </w:tcPr>
          <w:p w14:paraId="34935938">
            <w:pPr>
              <w:ind w:right="280"/>
              <w:jc w:val="center"/>
              <w:rPr>
                <w:rFonts w:hint="default" w:ascii="仿宋" w:hAnsi="仿宋" w:eastAsia="仿宋" w:cs="仿宋"/>
                <w:sz w:val="28"/>
                <w:szCs w:val="28"/>
                <w:highlight w:val="none"/>
                <w:vertAlign w:val="baseline"/>
                <w:lang w:val="en-US" w:eastAsia="zh-CN"/>
              </w:rPr>
            </w:pPr>
          </w:p>
        </w:tc>
      </w:tr>
      <w:tr w14:paraId="4E35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3941" w:type="dxa"/>
            <w:vAlign w:val="center"/>
          </w:tcPr>
          <w:p w14:paraId="18CE4EA9">
            <w:pPr>
              <w:ind w:right="280"/>
              <w:jc w:val="center"/>
              <w:rPr>
                <w:rFonts w:hint="default" w:ascii="仿宋" w:hAnsi="仿宋" w:eastAsia="仿宋" w:cs="仿宋"/>
                <w:sz w:val="28"/>
                <w:szCs w:val="28"/>
                <w:highlight w:val="none"/>
                <w:vertAlign w:val="baseline"/>
                <w:lang w:val="en-US" w:eastAsia="zh-CN"/>
              </w:rPr>
            </w:pPr>
            <w:r>
              <w:rPr>
                <w:rFonts w:hint="default" w:ascii="仿宋" w:hAnsi="仿宋" w:eastAsia="仿宋" w:cs="仿宋"/>
                <w:sz w:val="28"/>
                <w:szCs w:val="28"/>
                <w:highlight w:val="none"/>
                <w:vertAlign w:val="baseline"/>
                <w:lang w:val="en-US" w:eastAsia="zh-CN"/>
              </w:rPr>
              <w:t>产品</w:t>
            </w:r>
            <w:r>
              <w:rPr>
                <w:rFonts w:hint="eastAsia" w:ascii="仿宋" w:hAnsi="仿宋" w:eastAsia="仿宋" w:cs="仿宋"/>
                <w:sz w:val="28"/>
                <w:szCs w:val="28"/>
                <w:highlight w:val="none"/>
                <w:vertAlign w:val="baseline"/>
                <w:lang w:val="en-US" w:eastAsia="zh-CN"/>
              </w:rPr>
              <w:t>技术偏离35分</w:t>
            </w:r>
          </w:p>
        </w:tc>
        <w:tc>
          <w:tcPr>
            <w:tcW w:w="1971" w:type="dxa"/>
          </w:tcPr>
          <w:p w14:paraId="5B15C0B8">
            <w:pPr>
              <w:ind w:right="280"/>
              <w:jc w:val="center"/>
              <w:rPr>
                <w:rFonts w:hint="default" w:ascii="仿宋" w:hAnsi="仿宋" w:eastAsia="仿宋" w:cs="仿宋"/>
                <w:sz w:val="28"/>
                <w:szCs w:val="28"/>
                <w:highlight w:val="none"/>
                <w:vertAlign w:val="baseline"/>
                <w:lang w:val="en-US" w:eastAsia="zh-CN"/>
              </w:rPr>
            </w:pPr>
          </w:p>
        </w:tc>
        <w:tc>
          <w:tcPr>
            <w:tcW w:w="1971" w:type="dxa"/>
          </w:tcPr>
          <w:p w14:paraId="7ABF882B">
            <w:pPr>
              <w:ind w:right="280"/>
              <w:jc w:val="center"/>
              <w:rPr>
                <w:rFonts w:hint="default" w:ascii="仿宋" w:hAnsi="仿宋" w:eastAsia="仿宋" w:cs="仿宋"/>
                <w:sz w:val="28"/>
                <w:szCs w:val="28"/>
                <w:highlight w:val="none"/>
                <w:vertAlign w:val="baseline"/>
                <w:lang w:val="en-US" w:eastAsia="zh-CN"/>
              </w:rPr>
            </w:pPr>
          </w:p>
        </w:tc>
        <w:tc>
          <w:tcPr>
            <w:tcW w:w="1971" w:type="dxa"/>
          </w:tcPr>
          <w:p w14:paraId="57F8C453">
            <w:pPr>
              <w:ind w:right="280"/>
              <w:jc w:val="center"/>
              <w:rPr>
                <w:rFonts w:hint="default" w:ascii="仿宋" w:hAnsi="仿宋" w:eastAsia="仿宋" w:cs="仿宋"/>
                <w:sz w:val="28"/>
                <w:szCs w:val="28"/>
                <w:highlight w:val="none"/>
                <w:vertAlign w:val="baseline"/>
                <w:lang w:val="en-US" w:eastAsia="zh-CN"/>
              </w:rPr>
            </w:pPr>
          </w:p>
        </w:tc>
      </w:tr>
      <w:tr w14:paraId="3680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1" w:type="dxa"/>
          </w:tcPr>
          <w:p w14:paraId="22053904">
            <w:pPr>
              <w:ind w:right="280"/>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w:t>
            </w:r>
            <w:r>
              <w:rPr>
                <w:rFonts w:hint="default" w:ascii="仿宋" w:hAnsi="仿宋" w:eastAsia="仿宋" w:cs="仿宋"/>
                <w:sz w:val="28"/>
                <w:szCs w:val="28"/>
                <w:highlight w:val="none"/>
                <w:vertAlign w:val="baseline"/>
                <w:lang w:val="en-US" w:eastAsia="zh-CN"/>
              </w:rPr>
              <w:t>业绩10分</w:t>
            </w:r>
          </w:p>
        </w:tc>
        <w:tc>
          <w:tcPr>
            <w:tcW w:w="1971" w:type="dxa"/>
          </w:tcPr>
          <w:p w14:paraId="48A0FA08">
            <w:pPr>
              <w:ind w:right="280"/>
              <w:jc w:val="center"/>
              <w:rPr>
                <w:rFonts w:hint="default" w:ascii="仿宋" w:hAnsi="仿宋" w:eastAsia="仿宋" w:cs="仿宋"/>
                <w:sz w:val="28"/>
                <w:szCs w:val="28"/>
                <w:highlight w:val="none"/>
                <w:vertAlign w:val="baseline"/>
                <w:lang w:val="en-US" w:eastAsia="zh-CN"/>
              </w:rPr>
            </w:pPr>
          </w:p>
        </w:tc>
        <w:tc>
          <w:tcPr>
            <w:tcW w:w="1971" w:type="dxa"/>
          </w:tcPr>
          <w:p w14:paraId="5F5F59A1">
            <w:pPr>
              <w:ind w:right="280"/>
              <w:jc w:val="center"/>
              <w:rPr>
                <w:rFonts w:hint="default" w:ascii="仿宋" w:hAnsi="仿宋" w:eastAsia="仿宋" w:cs="仿宋"/>
                <w:sz w:val="28"/>
                <w:szCs w:val="28"/>
                <w:highlight w:val="none"/>
                <w:vertAlign w:val="baseline"/>
                <w:lang w:val="en-US" w:eastAsia="zh-CN"/>
              </w:rPr>
            </w:pPr>
          </w:p>
        </w:tc>
        <w:tc>
          <w:tcPr>
            <w:tcW w:w="1971" w:type="dxa"/>
          </w:tcPr>
          <w:p w14:paraId="4DFA564D">
            <w:pPr>
              <w:ind w:right="280"/>
              <w:jc w:val="center"/>
              <w:rPr>
                <w:rFonts w:hint="default" w:ascii="仿宋" w:hAnsi="仿宋" w:eastAsia="仿宋" w:cs="仿宋"/>
                <w:sz w:val="28"/>
                <w:szCs w:val="28"/>
                <w:highlight w:val="none"/>
                <w:vertAlign w:val="baseline"/>
                <w:lang w:val="en-US" w:eastAsia="zh-CN"/>
              </w:rPr>
            </w:pPr>
          </w:p>
        </w:tc>
      </w:tr>
      <w:tr w14:paraId="67F4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1" w:type="dxa"/>
          </w:tcPr>
          <w:p w14:paraId="066BB28F">
            <w:pPr>
              <w:ind w:right="280"/>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项目服务标准15</w:t>
            </w:r>
            <w:r>
              <w:rPr>
                <w:rFonts w:hint="default" w:ascii="仿宋" w:hAnsi="仿宋" w:eastAsia="仿宋" w:cs="仿宋"/>
                <w:sz w:val="28"/>
                <w:szCs w:val="28"/>
                <w:highlight w:val="none"/>
                <w:vertAlign w:val="baseline"/>
                <w:lang w:val="en-US" w:eastAsia="zh-CN"/>
              </w:rPr>
              <w:t>分</w:t>
            </w:r>
          </w:p>
        </w:tc>
        <w:tc>
          <w:tcPr>
            <w:tcW w:w="1971" w:type="dxa"/>
          </w:tcPr>
          <w:p w14:paraId="091267F2">
            <w:pPr>
              <w:ind w:right="280"/>
              <w:jc w:val="center"/>
              <w:rPr>
                <w:rFonts w:hint="default" w:ascii="仿宋" w:hAnsi="仿宋" w:eastAsia="仿宋" w:cs="仿宋"/>
                <w:sz w:val="28"/>
                <w:szCs w:val="28"/>
                <w:highlight w:val="none"/>
                <w:vertAlign w:val="baseline"/>
                <w:lang w:val="en-US" w:eastAsia="zh-CN"/>
              </w:rPr>
            </w:pPr>
          </w:p>
        </w:tc>
        <w:tc>
          <w:tcPr>
            <w:tcW w:w="1971" w:type="dxa"/>
          </w:tcPr>
          <w:p w14:paraId="69484747">
            <w:pPr>
              <w:ind w:right="280"/>
              <w:jc w:val="center"/>
              <w:rPr>
                <w:rFonts w:hint="default" w:ascii="仿宋" w:hAnsi="仿宋" w:eastAsia="仿宋" w:cs="仿宋"/>
                <w:sz w:val="28"/>
                <w:szCs w:val="28"/>
                <w:highlight w:val="none"/>
                <w:vertAlign w:val="baseline"/>
                <w:lang w:val="en-US" w:eastAsia="zh-CN"/>
              </w:rPr>
            </w:pPr>
          </w:p>
        </w:tc>
        <w:tc>
          <w:tcPr>
            <w:tcW w:w="1971" w:type="dxa"/>
          </w:tcPr>
          <w:p w14:paraId="32871080">
            <w:pPr>
              <w:ind w:right="280"/>
              <w:jc w:val="center"/>
              <w:rPr>
                <w:rFonts w:hint="default" w:ascii="仿宋" w:hAnsi="仿宋" w:eastAsia="仿宋" w:cs="仿宋"/>
                <w:sz w:val="28"/>
                <w:szCs w:val="28"/>
                <w:highlight w:val="none"/>
                <w:vertAlign w:val="baseline"/>
                <w:lang w:val="en-US" w:eastAsia="zh-CN"/>
              </w:rPr>
            </w:pPr>
          </w:p>
        </w:tc>
      </w:tr>
      <w:tr w14:paraId="127E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1" w:type="dxa"/>
          </w:tcPr>
          <w:p w14:paraId="02163A6C">
            <w:pPr>
              <w:ind w:right="280"/>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项目实施方案</w:t>
            </w:r>
            <w:r>
              <w:rPr>
                <w:rFonts w:hint="default" w:ascii="仿宋" w:hAnsi="仿宋" w:eastAsia="仿宋" w:cs="仿宋"/>
                <w:sz w:val="28"/>
                <w:szCs w:val="28"/>
                <w:highlight w:val="none"/>
                <w:vertAlign w:val="baseline"/>
                <w:lang w:val="en-US" w:eastAsia="zh-CN"/>
              </w:rPr>
              <w:t>10分</w:t>
            </w:r>
          </w:p>
        </w:tc>
        <w:tc>
          <w:tcPr>
            <w:tcW w:w="1971" w:type="dxa"/>
          </w:tcPr>
          <w:p w14:paraId="23461184">
            <w:pPr>
              <w:ind w:right="280"/>
              <w:jc w:val="center"/>
              <w:rPr>
                <w:rFonts w:hint="default" w:ascii="仿宋" w:hAnsi="仿宋" w:eastAsia="仿宋" w:cs="仿宋"/>
                <w:sz w:val="28"/>
                <w:szCs w:val="28"/>
                <w:highlight w:val="none"/>
                <w:vertAlign w:val="baseline"/>
                <w:lang w:val="en-US" w:eastAsia="zh-CN"/>
              </w:rPr>
            </w:pPr>
          </w:p>
        </w:tc>
        <w:tc>
          <w:tcPr>
            <w:tcW w:w="1971" w:type="dxa"/>
          </w:tcPr>
          <w:p w14:paraId="4A944F8A">
            <w:pPr>
              <w:ind w:right="280"/>
              <w:jc w:val="center"/>
              <w:rPr>
                <w:rFonts w:hint="default" w:ascii="仿宋" w:hAnsi="仿宋" w:eastAsia="仿宋" w:cs="仿宋"/>
                <w:sz w:val="28"/>
                <w:szCs w:val="28"/>
                <w:highlight w:val="none"/>
                <w:vertAlign w:val="baseline"/>
                <w:lang w:val="en-US" w:eastAsia="zh-CN"/>
              </w:rPr>
            </w:pPr>
          </w:p>
        </w:tc>
        <w:tc>
          <w:tcPr>
            <w:tcW w:w="1971" w:type="dxa"/>
          </w:tcPr>
          <w:p w14:paraId="1C636B45">
            <w:pPr>
              <w:ind w:right="280"/>
              <w:jc w:val="center"/>
              <w:rPr>
                <w:rFonts w:hint="default" w:ascii="仿宋" w:hAnsi="仿宋" w:eastAsia="仿宋" w:cs="仿宋"/>
                <w:sz w:val="28"/>
                <w:szCs w:val="28"/>
                <w:highlight w:val="none"/>
                <w:vertAlign w:val="baseline"/>
                <w:lang w:val="en-US" w:eastAsia="zh-CN"/>
              </w:rPr>
            </w:pPr>
          </w:p>
        </w:tc>
      </w:tr>
      <w:tr w14:paraId="56D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1" w:type="dxa"/>
          </w:tcPr>
          <w:p w14:paraId="4A29F50D">
            <w:pPr>
              <w:ind w:right="280"/>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总分</w:t>
            </w:r>
          </w:p>
        </w:tc>
        <w:tc>
          <w:tcPr>
            <w:tcW w:w="1971" w:type="dxa"/>
          </w:tcPr>
          <w:p w14:paraId="745BDD8C">
            <w:pPr>
              <w:ind w:right="280"/>
              <w:jc w:val="center"/>
              <w:rPr>
                <w:rFonts w:hint="default" w:ascii="仿宋" w:hAnsi="仿宋" w:eastAsia="仿宋" w:cs="仿宋"/>
                <w:sz w:val="28"/>
                <w:szCs w:val="28"/>
                <w:highlight w:val="none"/>
                <w:vertAlign w:val="baseline"/>
                <w:lang w:val="en-US" w:eastAsia="zh-CN"/>
              </w:rPr>
            </w:pPr>
          </w:p>
        </w:tc>
        <w:tc>
          <w:tcPr>
            <w:tcW w:w="1971" w:type="dxa"/>
          </w:tcPr>
          <w:p w14:paraId="065869A5">
            <w:pPr>
              <w:ind w:right="280"/>
              <w:jc w:val="center"/>
              <w:rPr>
                <w:rFonts w:hint="default" w:ascii="仿宋" w:hAnsi="仿宋" w:eastAsia="仿宋" w:cs="仿宋"/>
                <w:sz w:val="28"/>
                <w:szCs w:val="28"/>
                <w:highlight w:val="none"/>
                <w:vertAlign w:val="baseline"/>
                <w:lang w:val="en-US" w:eastAsia="zh-CN"/>
              </w:rPr>
            </w:pPr>
          </w:p>
        </w:tc>
        <w:tc>
          <w:tcPr>
            <w:tcW w:w="1971" w:type="dxa"/>
          </w:tcPr>
          <w:p w14:paraId="34063BD5">
            <w:pPr>
              <w:ind w:right="280"/>
              <w:jc w:val="center"/>
              <w:rPr>
                <w:rFonts w:hint="default" w:ascii="仿宋" w:hAnsi="仿宋" w:eastAsia="仿宋" w:cs="仿宋"/>
                <w:sz w:val="28"/>
                <w:szCs w:val="28"/>
                <w:highlight w:val="none"/>
                <w:vertAlign w:val="baseline"/>
                <w:lang w:val="en-US" w:eastAsia="zh-CN"/>
              </w:rPr>
            </w:pPr>
          </w:p>
        </w:tc>
      </w:tr>
    </w:tbl>
    <w:p w14:paraId="15563C05">
      <w:pPr>
        <w:ind w:right="280"/>
        <w:jc w:val="left"/>
        <w:rPr>
          <w:rFonts w:hint="default" w:ascii="仿宋" w:hAnsi="仿宋" w:eastAsia="仿宋" w:cs="仿宋"/>
          <w:sz w:val="28"/>
          <w:szCs w:val="28"/>
          <w:highlight w:val="none"/>
          <w:lang w:val="en-US" w:eastAsia="zh-CN"/>
        </w:rPr>
      </w:pPr>
    </w:p>
    <w:sectPr>
      <w:headerReference r:id="rId3" w:type="default"/>
      <w:pgSz w:w="11906" w:h="16838"/>
      <w:pgMar w:top="1134" w:right="1134" w:bottom="1134" w:left="1134"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1AF7">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NTcxM2E4NTQzMjhiMzI5NTRiNDJhMGJmODAwZTQifQ=="/>
  </w:docVars>
  <w:rsids>
    <w:rsidRoot w:val="18863CA2"/>
    <w:rsid w:val="00681BE2"/>
    <w:rsid w:val="01853650"/>
    <w:rsid w:val="054B711F"/>
    <w:rsid w:val="06530982"/>
    <w:rsid w:val="09903DB2"/>
    <w:rsid w:val="0A395DAD"/>
    <w:rsid w:val="0A4E2893"/>
    <w:rsid w:val="0AA90F92"/>
    <w:rsid w:val="0D95427F"/>
    <w:rsid w:val="10771C33"/>
    <w:rsid w:val="10B155AA"/>
    <w:rsid w:val="18863CA2"/>
    <w:rsid w:val="19BB26E0"/>
    <w:rsid w:val="19FB2A6A"/>
    <w:rsid w:val="1AF53BCE"/>
    <w:rsid w:val="1C0B09D0"/>
    <w:rsid w:val="1D882527"/>
    <w:rsid w:val="203E1CC8"/>
    <w:rsid w:val="21004E0A"/>
    <w:rsid w:val="210563A1"/>
    <w:rsid w:val="22BC6221"/>
    <w:rsid w:val="2FA07EE4"/>
    <w:rsid w:val="32E868A7"/>
    <w:rsid w:val="35B67A16"/>
    <w:rsid w:val="367F6311"/>
    <w:rsid w:val="374410B2"/>
    <w:rsid w:val="39B12DF8"/>
    <w:rsid w:val="3C0F4B64"/>
    <w:rsid w:val="3FF17A9B"/>
    <w:rsid w:val="47996A19"/>
    <w:rsid w:val="481C742D"/>
    <w:rsid w:val="490D6395"/>
    <w:rsid w:val="4BB943B0"/>
    <w:rsid w:val="4D5747A5"/>
    <w:rsid w:val="4F1A26E6"/>
    <w:rsid w:val="575F2821"/>
    <w:rsid w:val="5A507D72"/>
    <w:rsid w:val="5BB920D2"/>
    <w:rsid w:val="60E22854"/>
    <w:rsid w:val="641C4801"/>
    <w:rsid w:val="66AF3F8D"/>
    <w:rsid w:val="696C2D26"/>
    <w:rsid w:val="6C512C31"/>
    <w:rsid w:val="6F6A3127"/>
    <w:rsid w:val="73B66A5B"/>
    <w:rsid w:val="74CE4803"/>
    <w:rsid w:val="75940BE2"/>
    <w:rsid w:val="76E232AA"/>
    <w:rsid w:val="78264DE3"/>
    <w:rsid w:val="78CE344A"/>
    <w:rsid w:val="79925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Table Text"/>
    <w:basedOn w:val="1"/>
    <w:semiHidden/>
    <w:qFormat/>
    <w:uiPriority w:val="0"/>
    <w:rPr>
      <w:rFonts w:ascii="宋体" w:hAnsi="宋体" w:eastAsia="宋体" w:cs="宋体"/>
      <w:sz w:val="30"/>
      <w:szCs w:val="30"/>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1818</Words>
  <Characters>1854</Characters>
  <Lines>0</Lines>
  <Paragraphs>0</Paragraphs>
  <TotalTime>12</TotalTime>
  <ScaleCrop>false</ScaleCrop>
  <LinksUpToDate>false</LinksUpToDate>
  <CharactersWithSpaces>1909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2024-11-22T07:18:00Z</dcterms:created>
  <dc:creator>babyjie</dc:creator>
  <cp:lastModifiedBy>babyjie</cp:lastModifiedBy>
  <cp:lastPrinted>2024-11-22T07:34:00Z</cp:lastPrinted>
  <dcterms:modified xsi:type="dcterms:W3CDTF">2025-01-13T02:06:54Z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9AD610056DFC4602BF7400A590EE11FD_13</vt:lpwstr>
  </property>
</Properties>
</file>