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87DA">
      <w:pPr>
        <w:ind w:right="28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遵义市第一人民医院桃溪院区新建射线装置 辐射环境影响评价、职业病危害预评价、职业病危害控制效果评价、环保竣工验收等服务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磋商办法</w:t>
      </w:r>
      <w:bookmarkEnd w:id="0"/>
    </w:p>
    <w:p w14:paraId="37731C31">
      <w:pPr>
        <w:ind w:right="28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2F2E3F0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根据我院桃溪院区建设需求及竞争性磋商管理办法，特制定本次磋商流程，请各潜在供应商按要求准备资料并参与。</w:t>
      </w:r>
    </w:p>
    <w:p w14:paraId="63EB254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一、响应文件组成响应要求</w:t>
      </w:r>
    </w:p>
    <w:p w14:paraId="60F6EE3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1.有效期内的营业执照（加盖鲜章）；</w:t>
      </w:r>
    </w:p>
    <w:p w14:paraId="63907D4E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2.具有法人签字并盖公司鲜章的授权委托书，法人到场的需准备法人身份证原件；</w:t>
      </w:r>
    </w:p>
    <w:p w14:paraId="655EE939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3.近三年类似服务业绩合同及该合同配套环保、卫生部门环评预控评审批文件；</w:t>
      </w:r>
    </w:p>
    <w:p w14:paraId="42D3EF6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4.技术服务方案；</w:t>
      </w:r>
    </w:p>
    <w:p w14:paraId="7D06161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5.报价函（见附件3）</w:t>
      </w:r>
    </w:p>
    <w:p w14:paraId="15019A39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p w14:paraId="498FD18B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7A66134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769F5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7A0400F6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5"/>
                <w:sz w:val="22"/>
                <w:szCs w:val="22"/>
                <w:highlight w:val="none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  <w:highlight w:val="none"/>
              </w:rPr>
              <w:t>容</w:t>
            </w:r>
          </w:p>
        </w:tc>
        <w:tc>
          <w:tcPr>
            <w:tcW w:w="803" w:type="dxa"/>
            <w:vAlign w:val="top"/>
          </w:tcPr>
          <w:p w14:paraId="3A391C70">
            <w:pPr>
              <w:spacing w:line="27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352C6AB8">
            <w:pPr>
              <w:pStyle w:val="6"/>
              <w:spacing w:before="65" w:line="228" w:lineRule="auto"/>
              <w:ind w:left="183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2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7349" w:type="dxa"/>
            <w:vAlign w:val="top"/>
          </w:tcPr>
          <w:p w14:paraId="4C5DB0E7">
            <w:pPr>
              <w:spacing w:line="27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AC655E2">
            <w:pPr>
              <w:pStyle w:val="6"/>
              <w:spacing w:before="65" w:line="229" w:lineRule="auto"/>
              <w:ind w:left="2884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6"/>
                <w:sz w:val="22"/>
                <w:szCs w:val="22"/>
                <w:highlight w:val="none"/>
              </w:rPr>
              <w:t>评分标准</w:t>
            </w:r>
          </w:p>
        </w:tc>
      </w:tr>
      <w:tr w14:paraId="2B2A3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06" w:type="dxa"/>
            <w:vAlign w:val="top"/>
          </w:tcPr>
          <w:p w14:paraId="272423F0">
            <w:pPr>
              <w:spacing w:line="246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18394D72">
            <w:pPr>
              <w:spacing w:line="24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1A271A4E">
            <w:pPr>
              <w:pStyle w:val="6"/>
              <w:spacing w:before="72" w:line="322" w:lineRule="auto"/>
              <w:ind w:left="10" w:right="110" w:firstLine="1"/>
              <w:rPr>
                <w:sz w:val="22"/>
                <w:szCs w:val="22"/>
                <w:highlight w:val="none"/>
              </w:rPr>
            </w:pPr>
            <w:r>
              <w:rPr>
                <w:spacing w:val="-4"/>
                <w:sz w:val="22"/>
                <w:szCs w:val="22"/>
                <w:highlight w:val="none"/>
              </w:rPr>
              <w:t>投标报</w:t>
            </w:r>
            <w:r>
              <w:rPr>
                <w:sz w:val="22"/>
                <w:szCs w:val="22"/>
                <w:highlight w:val="none"/>
              </w:rPr>
              <w:t>价</w:t>
            </w:r>
          </w:p>
        </w:tc>
        <w:tc>
          <w:tcPr>
            <w:tcW w:w="803" w:type="dxa"/>
            <w:vAlign w:val="top"/>
          </w:tcPr>
          <w:p w14:paraId="2EC564C0">
            <w:pPr>
              <w:spacing w:line="241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097F993C">
            <w:pPr>
              <w:spacing w:line="241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3E3C944">
            <w:pPr>
              <w:pStyle w:val="6"/>
              <w:spacing w:before="72" w:line="222" w:lineRule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49" w:type="dxa"/>
            <w:vAlign w:val="top"/>
          </w:tcPr>
          <w:p w14:paraId="4CDD5B23">
            <w:pPr>
              <w:pStyle w:val="6"/>
              <w:spacing w:before="33" w:line="361" w:lineRule="auto"/>
              <w:ind w:left="9" w:right="2" w:hanging="1"/>
              <w:jc w:val="both"/>
              <w:rPr>
                <w:rFonts w:ascii="Arial"/>
                <w:sz w:val="22"/>
                <w:szCs w:val="22"/>
                <w:highlight w:val="none"/>
              </w:rPr>
            </w:pPr>
            <w:r>
              <w:rPr>
                <w:spacing w:val="11"/>
                <w:sz w:val="22"/>
                <w:szCs w:val="22"/>
                <w:highlight w:val="none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=(</w:t>
            </w:r>
            <w:r>
              <w:rPr>
                <w:spacing w:val="11"/>
                <w:sz w:val="22"/>
                <w:szCs w:val="22"/>
                <w:highlight w:val="none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)×</w:t>
            </w:r>
            <w:r>
              <w:rPr>
                <w:spacing w:val="11"/>
                <w:sz w:val="22"/>
                <w:szCs w:val="22"/>
                <w:highlight w:val="none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0%</w:t>
            </w:r>
            <w:r>
              <w:rPr>
                <w:spacing w:val="11"/>
                <w:sz w:val="22"/>
                <w:szCs w:val="22"/>
                <w:highlight w:val="none"/>
              </w:rPr>
              <w:t>）</w:t>
            </w:r>
            <w:r>
              <w:rPr>
                <w:spacing w:val="-4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8"/>
                <w:sz w:val="22"/>
                <w:szCs w:val="22"/>
                <w:highlight w:val="none"/>
              </w:rPr>
              <w:t>（四舍五入后保留小数点后两位）。</w:t>
            </w:r>
          </w:p>
          <w:p w14:paraId="257747B3">
            <w:pPr>
              <w:pStyle w:val="6"/>
              <w:spacing w:before="65" w:line="368" w:lineRule="auto"/>
              <w:ind w:left="8" w:right="6"/>
              <w:jc w:val="both"/>
              <w:rPr>
                <w:sz w:val="22"/>
                <w:szCs w:val="22"/>
                <w:highlight w:val="none"/>
              </w:rPr>
            </w:pPr>
          </w:p>
        </w:tc>
      </w:tr>
      <w:tr w14:paraId="59D4B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506" w:type="dxa"/>
            <w:vAlign w:val="top"/>
          </w:tcPr>
          <w:p w14:paraId="3B8237E1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B048D0E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06CF11EC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2A138AA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72A043C4">
            <w:pPr>
              <w:pStyle w:val="6"/>
              <w:spacing w:before="71" w:line="327" w:lineRule="auto"/>
              <w:ind w:left="7" w:right="110" w:firstLine="2"/>
              <w:jc w:val="both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服务适用性</w:t>
            </w:r>
          </w:p>
        </w:tc>
        <w:tc>
          <w:tcPr>
            <w:tcW w:w="803" w:type="dxa"/>
            <w:vAlign w:val="top"/>
          </w:tcPr>
          <w:p w14:paraId="7D20E47E">
            <w:pPr>
              <w:spacing w:line="286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32A6036C">
            <w:pPr>
              <w:spacing w:line="286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63C1058F">
            <w:pPr>
              <w:spacing w:line="28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47C2E5CC">
            <w:pPr>
              <w:spacing w:line="28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2A2D6785">
            <w:pPr>
              <w:spacing w:line="28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4DF40FBC">
            <w:pPr>
              <w:pStyle w:val="6"/>
              <w:spacing w:before="71" w:line="222" w:lineRule="auto"/>
              <w:ind w:left="15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spacing w:val="-5"/>
                <w:sz w:val="22"/>
                <w:szCs w:val="22"/>
                <w:highlight w:val="none"/>
              </w:rPr>
              <w:t>0</w:t>
            </w:r>
            <w:r>
              <w:rPr>
                <w:spacing w:val="-45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5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49" w:type="dxa"/>
            <w:vAlign w:val="top"/>
          </w:tcPr>
          <w:p w14:paraId="60C45EA5">
            <w:pPr>
              <w:pStyle w:val="6"/>
              <w:spacing w:before="34" w:line="228" w:lineRule="auto"/>
              <w:ind w:left="9"/>
              <w:rPr>
                <w:spacing w:val="8"/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评审小组根据潜在供应商提供技术服务方案评审</w:t>
            </w:r>
            <w:r>
              <w:rPr>
                <w:spacing w:val="8"/>
                <w:sz w:val="22"/>
                <w:szCs w:val="22"/>
                <w:highlight w:val="none"/>
              </w:rPr>
              <w:t>：</w:t>
            </w:r>
          </w:p>
          <w:p w14:paraId="1B8B4453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eastAsia="zh-CN"/>
              </w:rPr>
              <w:t>服务人员专业性（</w:t>
            </w: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val="en-US" w:eastAsia="zh-CN"/>
              </w:rPr>
              <w:t>1-15分</w:t>
            </w: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eastAsia="zh-CN"/>
              </w:rPr>
              <w:t>）：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根据现场服务人员参与同类项目数量，每增加一个项目得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5分。（提供现场服务人员项目业绩经验证明材料，如甲方委托授权、验收签字证明）（如评审小组认为证明材料无法证明相关经验不得分）（如投标人履行合同过程中，采购人发现投标人未安排该名现场服务人员提供服务，采购人有权按照不超过合同金额10%标准拒付服务费或终止合同）</w:t>
            </w:r>
          </w:p>
          <w:p w14:paraId="39D76D54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val="en-US" w:eastAsia="zh-CN"/>
              </w:rPr>
              <w:t>技术服务方案合理性(1-35分）：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根据投标人制定的技术方案完整性、服务进度计划、进度保证措施等进行综合评分：（投标人履行合同过程中未按照技术服务方案进行实施的，采购人有权按照不超过合同金额10%标准拒付服务费或终止合同）</w:t>
            </w:r>
          </w:p>
          <w:p w14:paraId="05D83B0B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①进度安排非常科学，可操作性强，人员安排非常合理，完全满足或优于用户需求的得28-35分；</w:t>
            </w:r>
          </w:p>
          <w:p w14:paraId="59418650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②进度安排科学，可操作性一般，人员安排较合理，较能满足用户需求并有一定亮点的得15-27分；</w:t>
            </w:r>
          </w:p>
          <w:p w14:paraId="06EA5D71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③进度安排基本合理，具有一定可操作性，人员安排基本合理，基本满足用户需求的得1-14分；</w:t>
            </w:r>
          </w:p>
          <w:p w14:paraId="71A41CEC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④不提供方案不得分。</w:t>
            </w:r>
          </w:p>
        </w:tc>
      </w:tr>
      <w:tr w14:paraId="501E9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76751283">
            <w:pPr>
              <w:spacing w:line="460" w:lineRule="auto"/>
              <w:jc w:val="center"/>
              <w:rPr>
                <w:rFonts w:ascii="Arial"/>
                <w:sz w:val="22"/>
                <w:szCs w:val="22"/>
                <w:highlight w:val="none"/>
              </w:rPr>
            </w:pPr>
          </w:p>
          <w:p w14:paraId="4637036B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pacing w:val="-3"/>
                <w:sz w:val="22"/>
                <w:szCs w:val="22"/>
                <w:highlight w:val="none"/>
              </w:rPr>
              <w:t>业绩</w:t>
            </w:r>
          </w:p>
        </w:tc>
        <w:tc>
          <w:tcPr>
            <w:tcW w:w="803" w:type="dxa"/>
            <w:vAlign w:val="top"/>
          </w:tcPr>
          <w:p w14:paraId="76AC2E07">
            <w:pPr>
              <w:spacing w:line="460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198E9D9F">
            <w:pPr>
              <w:pStyle w:val="6"/>
              <w:spacing w:before="72" w:line="222" w:lineRule="auto"/>
              <w:ind w:left="12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49" w:type="dxa"/>
            <w:vAlign w:val="top"/>
          </w:tcPr>
          <w:p w14:paraId="4EFEBBD3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pacing w:val="8"/>
                <w:sz w:val="22"/>
                <w:szCs w:val="22"/>
                <w:highlight w:val="none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投标人</w:t>
            </w:r>
            <w:r>
              <w:rPr>
                <w:spacing w:val="8"/>
                <w:sz w:val="22"/>
                <w:szCs w:val="22"/>
                <w:highlight w:val="none"/>
              </w:rPr>
              <w:t>近三年内已完成业绩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  <w:highlight w:val="none"/>
              </w:rPr>
              <w:t>,</w:t>
            </w:r>
            <w:r>
              <w:rPr>
                <w:spacing w:val="8"/>
                <w:sz w:val="22"/>
                <w:szCs w:val="22"/>
                <w:highlight w:val="none"/>
              </w:rPr>
              <w:t>每提供</w:t>
            </w:r>
            <w:r>
              <w:rPr>
                <w:spacing w:val="-2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  <w:highlight w:val="none"/>
              </w:rPr>
              <w:t xml:space="preserve">1 </w:t>
            </w:r>
            <w:r>
              <w:rPr>
                <w:spacing w:val="8"/>
                <w:sz w:val="22"/>
                <w:szCs w:val="22"/>
                <w:highlight w:val="none"/>
              </w:rPr>
              <w:t>个有效业绩</w:t>
            </w:r>
            <w:r>
              <w:rPr>
                <w:spacing w:val="7"/>
                <w:sz w:val="22"/>
                <w:szCs w:val="22"/>
                <w:highlight w:val="none"/>
              </w:rPr>
              <w:t>的得</w:t>
            </w:r>
            <w:r>
              <w:rPr>
                <w:spacing w:val="-4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 </w:t>
            </w:r>
            <w:r>
              <w:rPr>
                <w:spacing w:val="7"/>
                <w:sz w:val="22"/>
                <w:szCs w:val="22"/>
                <w:highlight w:val="none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  <w:highlight w:val="none"/>
              </w:rPr>
              <w:t>,</w:t>
            </w:r>
            <w:r>
              <w:rPr>
                <w:spacing w:val="7"/>
                <w:sz w:val="22"/>
                <w:szCs w:val="22"/>
                <w:highlight w:val="none"/>
              </w:rPr>
              <w:t>满分</w:t>
            </w:r>
            <w:r>
              <w:rPr>
                <w:spacing w:val="-33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  <w:highlight w:val="none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  <w:highlight w:val="none"/>
              </w:rPr>
              <w:t>（提供</w:t>
            </w:r>
            <w:r>
              <w:rPr>
                <w:rFonts w:hint="eastAsia"/>
                <w:b/>
                <w:bCs/>
                <w:spacing w:val="7"/>
                <w:sz w:val="22"/>
                <w:szCs w:val="22"/>
                <w:highlight w:val="none"/>
              </w:rPr>
              <w:t>业绩合同及该合同配套环保、卫生部门环评预控评审批文件</w:t>
            </w:r>
            <w:r>
              <w:rPr>
                <w:b/>
                <w:bCs/>
                <w:spacing w:val="7"/>
                <w:sz w:val="22"/>
                <w:szCs w:val="22"/>
                <w:highlight w:val="none"/>
              </w:rPr>
              <w:t>加盖公章）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szCs w:val="22"/>
                <w:highlight w:val="none"/>
              </w:rPr>
              <w:t>不提供</w:t>
            </w:r>
            <w:r>
              <w:rPr>
                <w:rFonts w:hint="eastAsia"/>
                <w:spacing w:val="-2"/>
                <w:sz w:val="22"/>
                <w:szCs w:val="22"/>
                <w:highlight w:val="none"/>
                <w:lang w:eastAsia="zh-CN"/>
              </w:rPr>
              <w:t>或合同签订方非投标人</w:t>
            </w:r>
            <w:r>
              <w:rPr>
                <w:spacing w:val="-2"/>
                <w:sz w:val="22"/>
                <w:szCs w:val="22"/>
                <w:highlight w:val="none"/>
              </w:rPr>
              <w:t>不得分</w:t>
            </w:r>
          </w:p>
        </w:tc>
      </w:tr>
      <w:tr w14:paraId="53ED6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2DA0367D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highlight w:val="none"/>
                <w:lang w:eastAsia="zh-CN"/>
              </w:rPr>
              <w:t>售后保障</w:t>
            </w:r>
          </w:p>
        </w:tc>
        <w:tc>
          <w:tcPr>
            <w:tcW w:w="803" w:type="dxa"/>
            <w:vAlign w:val="top"/>
          </w:tcPr>
          <w:p w14:paraId="5AC65DAB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10A828D2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3小时内现场服务得10分，每增加1小时减一分。（提供保障承诺函，如供应商未按承诺时间进行服务，采购人有权按照不超过合同金额10%标准拒付服务费），评审小组认为承诺函有歧义的有权要求投标人现场澄清（自通知澄清时起时间不超过30分钟），如澄清后仍有歧义或无法满足采购人需求的不得分。</w:t>
            </w:r>
          </w:p>
        </w:tc>
      </w:tr>
    </w:tbl>
    <w:p w14:paraId="7C04152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59CCCC7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5149913D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3F905BA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699FC2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07ACF88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11D54162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4C02CDDC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26D3F4E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782"/>
        <w:gridCol w:w="1913"/>
        <w:gridCol w:w="1913"/>
        <w:gridCol w:w="2176"/>
      </w:tblGrid>
      <w:tr w14:paraId="0EBA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3B4B7F6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13" w:type="dxa"/>
          </w:tcPr>
          <w:p w14:paraId="7925BF4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13" w:type="dxa"/>
          </w:tcPr>
          <w:p w14:paraId="1F57B06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</w:tcPr>
          <w:p w14:paraId="7D3B5BC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0326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28EF83D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13" w:type="dxa"/>
          </w:tcPr>
          <w:p w14:paraId="1824AB8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0302D0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DF11C9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E4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restart"/>
            <w:vAlign w:val="center"/>
          </w:tcPr>
          <w:p w14:paraId="4E418EA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服务适用性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50分</w:t>
            </w:r>
          </w:p>
        </w:tc>
        <w:tc>
          <w:tcPr>
            <w:tcW w:w="1782" w:type="dxa"/>
          </w:tcPr>
          <w:p w14:paraId="2DEB129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服务人员专业性（1-15分）</w:t>
            </w:r>
          </w:p>
        </w:tc>
        <w:tc>
          <w:tcPr>
            <w:tcW w:w="1913" w:type="dxa"/>
          </w:tcPr>
          <w:p w14:paraId="4554096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46D3FEB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0EE65A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018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 w14:paraId="416BACF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 w14:paraId="1EC5D48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技术服务方案合理性(1-35分）</w:t>
            </w:r>
          </w:p>
        </w:tc>
        <w:tc>
          <w:tcPr>
            <w:tcW w:w="1913" w:type="dxa"/>
          </w:tcPr>
          <w:p w14:paraId="7DE04D3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3BCE71E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179C05F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991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6308002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13" w:type="dxa"/>
          </w:tcPr>
          <w:p w14:paraId="2D1ECB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669491F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7042F6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317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852" w:type="dxa"/>
            <w:gridSpan w:val="2"/>
          </w:tcPr>
          <w:p w14:paraId="4EB0576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13" w:type="dxa"/>
          </w:tcPr>
          <w:p w14:paraId="7D79EAF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6158B0B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F85A70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0FB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0C12449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13" w:type="dxa"/>
          </w:tcPr>
          <w:p w14:paraId="0418A7B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6CB63E4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ED5CB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698278D">
      <w:pPr>
        <w:rPr>
          <w:b/>
          <w:bCs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47A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F5392"/>
    <w:rsid w:val="487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2024-12-11T11:42:00Z</dcterms:created>
  <dc:creator>babyjie</dc:creator>
  <cp:lastModifiedBy>babyjie</cp:lastModifiedBy>
  <dcterms:modified xsi:type="dcterms:W3CDTF">2024-12-11T11:42:43Z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780E8A8AE56A420CB62B51B3B510C513_11</vt:lpwstr>
  </property>
</Properties>
</file>