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F8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全科医学服务中心---远程会诊中心建设参数</w:t>
      </w:r>
    </w:p>
    <w:p w14:paraId="10C216FF">
      <w:pPr>
        <w:pStyle w:val="4"/>
        <w:widowControl/>
        <w:spacing w:beforeAutospacing="0" w:afterAutospacing="0" w:line="240" w:lineRule="auto"/>
        <w:rPr>
          <w:rFonts w:hint="eastAsia" w:ascii="宋体" w:hAnsi="宋体" w:eastAsia="宋体" w:cs="宋体"/>
          <w:b/>
          <w:bCs/>
          <w:kern w:val="2"/>
          <w:sz w:val="24"/>
          <w:szCs w:val="24"/>
          <w14:ligatures w14:val="standardContextual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14:ligatures w14:val="standardContextual"/>
        </w:rPr>
        <w:t>一、核心需求：</w:t>
      </w:r>
    </w:p>
    <w:p w14:paraId="26691491">
      <w:pPr>
        <w:pStyle w:val="4"/>
        <w:widowControl/>
        <w:spacing w:beforeAutospacing="0" w:afterAutospacing="0" w:line="240" w:lineRule="auto"/>
        <w:rPr>
          <w:rFonts w:hint="eastAsia" w:ascii="宋体" w:hAnsi="宋体" w:eastAsia="宋体" w:cs="宋体"/>
          <w:kern w:val="2"/>
          <w:sz w:val="21"/>
          <w:szCs w:val="21"/>
          <w14:ligatures w14:val="standardContextual"/>
        </w:rPr>
      </w:pPr>
      <w:r>
        <w:rPr>
          <w:rFonts w:hint="eastAsia" w:ascii="宋体" w:hAnsi="宋体" w:eastAsia="宋体" w:cs="宋体"/>
          <w:kern w:val="2"/>
          <w:sz w:val="21"/>
          <w:szCs w:val="21"/>
          <w14:ligatures w14:val="standardContextual"/>
        </w:rPr>
        <w:t>视频会诊、电子病历管理、预约系统、屏幕共享、文件上传和分享、加密通信、音频通话、会议录制、聊天功能等。</w:t>
      </w:r>
    </w:p>
    <w:p w14:paraId="179CE2F2"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二、场地与环境</w:t>
      </w:r>
    </w:p>
    <w:p w14:paraId="3AB3E538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专用会诊室面积不小于15平方米，具备良好的隔音和采光条件。（原有全科示教室就地改造）。</w:t>
      </w:r>
    </w:p>
    <w:p w14:paraId="584CD267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室内温度保持在适宜范围（[具体温度区间]），湿度控制在合理水平（内有柜式空调）。</w:t>
      </w:r>
    </w:p>
    <w:p w14:paraId="6506292D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配备稳定的电力供应和可靠的网络布线（已有电力和网络接口）。</w:t>
      </w:r>
    </w:p>
    <w:p w14:paraId="3866862E"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三、硬件设备</w:t>
      </w:r>
    </w:p>
    <w:p w14:paraId="2D766BC6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1.高清视频会议系统，包括直播高清广角摄像头、麦克风（立式、夹式各一个）、扬声器等，支持至少30路视频信号输入和输出。</w:t>
      </w:r>
    </w:p>
    <w:p w14:paraId="0EBC774B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2.大屏幕显示设备一套，如高清液晶显示屏或投影仪，尺寸不小于100寸，配置可移动支架、HDMI连接线等。</w:t>
      </w:r>
    </w:p>
    <w:p w14:paraId="55226D88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3.高性能笔记本电脑一台，配置满足流畅运行远程会诊软件和处理医疗数据的要求（SSD存储容量至少1TB、运行内存达32GB以上、第13代智能英特尔® 酷睿™ i9-13900H 处理器、14核CPU）。</w:t>
      </w:r>
    </w:p>
    <w:p w14:paraId="721FC11F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4.医疗影像设备接口，如 DICOM 接口，确保影像数据的传输质量。5.稳定的网络设备，具备高速带宽和低延迟特性，如云服务器：4核16G，带宽10Mbps。</w:t>
      </w:r>
    </w:p>
    <w:p w14:paraId="0D18E5E8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 大容量移动存储设备，如移动硬盘16T共3个。</w:t>
      </w:r>
    </w:p>
    <w:p w14:paraId="0D752EB6"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四、软件系统</w:t>
      </w:r>
    </w:p>
    <w:p w14:paraId="4FC8229B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专业的远程会诊平台软件，具备用户登录、模块化病历资料传输等功能。</w:t>
      </w:r>
    </w:p>
    <w:p w14:paraId="3AFC3F02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具备高清视频流传输能力，支持 1080P 及以上分辨率，帧率不低于 30 帧/秒。</w:t>
      </w:r>
    </w:p>
    <w:p w14:paraId="016F19EC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 音频编解码技术先进，保证清晰、无杂音的语音通讯。</w:t>
      </w:r>
    </w:p>
    <w:p w14:paraId="255DA12C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 支持多平台使用，包括 Windows、Mac、iOS、Android 等系统。</w:t>
      </w:r>
    </w:p>
    <w:p w14:paraId="182E3947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 支持会诊管理，包括创建、预约、取消、提醒通知、记录和回放功能。</w:t>
      </w:r>
    </w:p>
    <w:p w14:paraId="071F23E3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 开展线上会议，会议管理功能全面，包括会议预约、权限设置、参会人员管理等。</w:t>
      </w:r>
    </w:p>
    <w:p w14:paraId="145B1483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 拥有良好的网络适应性，能在不同网络环境下保持稳定运行。</w:t>
      </w:r>
    </w:p>
    <w:p w14:paraId="67A7735D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 报告事件、修复漏洞，具备软件更新和升级机制，以适应不断变化的需求和技术发展。</w:t>
      </w:r>
    </w:p>
    <w:p w14:paraId="7355CA69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9. 支持实时交互功能，如共享屏幕、标注、投票等。</w:t>
      </w:r>
    </w:p>
    <w:p w14:paraId="6F6B8974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10. 实现数据通讯、存储、视频传输、录制、下载等。</w:t>
      </w:r>
    </w:p>
    <w:p w14:paraId="21E1F1BB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11. 数据安全与加密软件，保障患者隐私和医疗数据安全。</w:t>
      </w:r>
    </w:p>
    <w:p w14:paraId="5004E9E3"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五、人员配置</w:t>
      </w:r>
    </w:p>
    <w:p w14:paraId="3CEA2260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至少配备1名专业的技术人员，长期负责设备定期维护和技术支持。</w:t>
      </w:r>
    </w:p>
    <w:p w14:paraId="0CFA8F9C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安排经过培训的医疗协调人员，负责会诊流程的组织和协调。</w:t>
      </w:r>
    </w:p>
    <w:p w14:paraId="32BA68B7"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六、网络要求</w:t>
      </w:r>
    </w:p>
    <w:p w14:paraId="7C148A8C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具备独立的高速互联网接入，带宽不低于[X]Mbps。</w:t>
      </w:r>
    </w:p>
    <w:p w14:paraId="0CAECBF2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网络延迟小于[X]毫秒，丢包率低于[X]%。</w:t>
      </w:r>
    </w:p>
    <w:p w14:paraId="348124F6"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七、其他</w:t>
      </w:r>
    </w:p>
    <w:p w14:paraId="48AC746B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 会诊室配备舒适的会诊桌椅。</w:t>
      </w:r>
    </w:p>
    <w:p w14:paraId="2D3FCEA4">
      <w:pPr>
        <w:spacing w:line="24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 具备完善的消防和安保设施。</w:t>
      </w:r>
    </w:p>
    <w:p w14:paraId="71286CFA"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3. 建立规范的管理制度和操作流程。</w:t>
      </w:r>
    </w:p>
    <w:p w14:paraId="58C3C774"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MGZhYTI1NWE2NTc3Mjc1OGUyZTI4ZGIyZjI0NzQifQ=="/>
  </w:docVars>
  <w:rsids>
    <w:rsidRoot w:val="00982B33"/>
    <w:rsid w:val="0051622C"/>
    <w:rsid w:val="006549E0"/>
    <w:rsid w:val="006C6212"/>
    <w:rsid w:val="006E7F20"/>
    <w:rsid w:val="00786857"/>
    <w:rsid w:val="008644CB"/>
    <w:rsid w:val="00982B33"/>
    <w:rsid w:val="00A65907"/>
    <w:rsid w:val="00DC2BCB"/>
    <w:rsid w:val="00E57253"/>
    <w:rsid w:val="00E93D60"/>
    <w:rsid w:val="00EE2510"/>
    <w:rsid w:val="00F675DE"/>
    <w:rsid w:val="00F81E12"/>
    <w:rsid w:val="00FB69FE"/>
    <w:rsid w:val="00FD50DA"/>
    <w:rsid w:val="280B1A43"/>
    <w:rsid w:val="2A872ED8"/>
    <w:rsid w:val="2BA60534"/>
    <w:rsid w:val="488A172B"/>
    <w:rsid w:val="7CD7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  <w14:ligatures w14:val="none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985</Words>
  <Characters>1091</Characters>
  <Lines>7</Lines>
  <Paragraphs>2</Paragraphs>
  <TotalTime>45</TotalTime>
  <ScaleCrop>false</ScaleCrop>
  <LinksUpToDate>false</LinksUpToDate>
  <CharactersWithSpaces>1265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2024-08-09T05:16:00Z</dcterms:created>
  <dc:creator>茂 杨</dc:creator>
  <cp:lastModifiedBy>babyjie</cp:lastModifiedBy>
  <dcterms:modified xsi:type="dcterms:W3CDTF">2024-08-12T02:38:26Z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7D6D8197309940D99BFE1731ADB35F1B_13</vt:lpwstr>
  </property>
</Properties>
</file>