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36"/>
          <w:lang w:eastAsia="zh-CN"/>
        </w:rPr>
        <w:t>乳甲科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设备参数</w:t>
      </w:r>
    </w:p>
    <w:bookmarkEnd w:id="0"/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1.空气波压力治疗仪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由电源线、电源适配器、空气导管2根组成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，电源输入：a.c.100-240v,50HZ/60HZ d。c。7.4V,50VA。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乳腺活检枪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由触发开关、轴杆、弹簧、传动杆、保险装置和衬垫组成，不包括活检针。有 22 mm 和 15 mm 两个穿刺深度。可消毒后重复使用。提供质保，3-5年免费维修。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多普勒血流探测仪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主要用于显微外科穿支皮瓣的定位，动静脉血管深度、位置的定位。患者术前和术后动静脉血流动态监测，是否存在异常，对术前预防及术后患者康复方面具有重要意义。可用于以下临床检查：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1、上下肢体的动脉狭窄、动脉硬化、动脉血栓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2、间歇性跛行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 xml:space="preserve">3、糖尿病足 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4、静脉瓣膜功能不全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5、雷诺氏综合症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6、节段动脉压的测量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7、静脉逆流研究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国内外临床应用状况：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 xml:space="preserve">1、肢体血流的实时监测 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2、皮瓣、皮支的测定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 xml:space="preserve">3、动静脉狭窄、阻塞的测定 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 xml:space="preserve">4、末梢血管的测定  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 xml:space="preserve">5、手指、足趾收缩压的测定 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6、肢体分段收缩压的测定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一、主要功能：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1.LCD大屏幕实时显示波形和各项参数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2.主机内置存储器，可储存不小于30组波形及数据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3.探头前端带有冻结键，便于操作读取测量中的波形及数据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4.内置数据接口，主机既可单独使用，又可配合计算机使用，并打印出所测部位的检测报告单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5.双向血流：同时反映双方向血流状况。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6.能够分别对动脉、静脉的血管状况进行检查。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7.具备血流频谱分析。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8.可对探头方向，模式、频率、语言、时间刻度、波形、数据等进行设置。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9.多种功能的探头可供选择（门诊、术中、监护、光电脉波）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二、技术性能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电池寿命：   约2.5小时</w:t>
      </w:r>
    </w:p>
    <w:p>
      <w:pP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 xml:space="preserve">自动切断：   无信号自动切断 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频率范围：   80/200Hz - 5kHz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模式设置：   记忆、波形、方向、时间刻度、其它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波形记忆：   不小于30条内存</w:t>
      </w:r>
    </w:p>
    <w:p>
      <w:pP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液晶显示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双向运动波形(正常和缓慢模式)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数据（S，D，V，RP，PI，SD，HR）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心率：30-300BPM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低电显示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扬声器输出： 200mW或更多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外部输出： 耳机，串行端口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 xml:space="preserve">用电安全： 符合EIC-601-1 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操作环境： 10-40摄氏度  85%湿度或不少于浓缩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存储环境： 0-50摄氏度  85%湿度或不少于浓缩</w:t>
      </w:r>
    </w:p>
    <w:p>
      <w:pP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尺寸： 主机：75±5(W)×140±5(D)×25±5(H)mm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参数说明：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S：收缩期血流速率（cm/s）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MN：平均多普勒变速（cm/s）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D：舒张期血流速率（cm/s）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RP：阻抗系数   RP＝（S-D）/S   RP＝1（如果波形低于基线）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PI：脉动指数   PI＝（波峰至波峰）MN  PI≤ 99.99</w:t>
      </w:r>
    </w:p>
    <w:p>
      <w:pPr>
        <w:rPr>
          <w:rFonts w:hint="eastAsia" w:ascii="仿宋_GB2312" w:hAnsi="宋体" w:cs="宋体"/>
          <w:bCs/>
          <w:kern w:val="0"/>
          <w:sz w:val="21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SD：S/D比，SD＝S/D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宋体" w:cs="宋体"/>
          <w:bCs/>
          <w:kern w:val="0"/>
          <w:sz w:val="21"/>
          <w:lang w:val="en-US" w:eastAsia="zh-CN"/>
        </w:rPr>
        <w:t>探头保修壹年，终生维护。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耦合剂恒温加热器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规格： 12v/50HZ安全加温仪；双杯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功率： 15wx2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5.</w:t>
      </w:r>
      <w:r>
        <w:rPr>
          <w:rFonts w:hint="default"/>
          <w:b w:val="0"/>
          <w:bCs w:val="0"/>
          <w:sz w:val="22"/>
          <w:szCs w:val="28"/>
          <w:lang w:val="en-US" w:eastAsia="zh-CN"/>
        </w:rPr>
        <w:t>固态超声耦合剂垫片固体透明专用凝胶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规格： 圆形φ9cm</w:t>
      </w: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±1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6.乳腺癌术后上肢康复训练器械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滑轮吊环训练器（不锈钢）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：规格：85×12×76～130cm：升降支架调节范围0～50cm，额定载荷15kg、材质：不锈钢材质；尼龙绳。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肩梯：1）外形尺寸（长×宽×高）：41</w:t>
      </w: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±5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*10</w:t>
      </w: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±5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*132</w:t>
      </w: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±5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cm</w:t>
      </w:r>
    </w:p>
    <w:p>
      <w:pPr>
        <w:widowControl w:val="0"/>
        <w:numPr>
          <w:ilvl w:val="0"/>
          <w:numId w:val="0"/>
        </w:numPr>
        <w:ind w:firstLine="660" w:firstLineChars="3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2）肩梯爬行层：50层</w:t>
      </w:r>
    </w:p>
    <w:p>
      <w:pPr>
        <w:widowControl w:val="0"/>
        <w:numPr>
          <w:ilvl w:val="0"/>
          <w:numId w:val="0"/>
        </w:numPr>
        <w:ind w:leftChars="0" w:firstLine="660" w:firstLineChars="30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3）肩梯升降范围0～22cm。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材质：型钢、ABS，钢件表面喷塑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肩关节旋转训练器（轮式）：由固定部件、阻尼装置、导向管、升降装置、圆盘，手柄组成。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1）外形尺寸（长×宽×高）：83</w:t>
      </w: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±5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×26</w:t>
      </w: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±5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×100</w:t>
      </w:r>
      <w:r>
        <w:rPr>
          <w:rFonts w:hint="eastAsia" w:ascii="仿宋_GB2312" w:hAnsi="宋体" w:cs="宋体"/>
          <w:bCs/>
          <w:color w:val="auto"/>
          <w:kern w:val="0"/>
          <w:sz w:val="21"/>
          <w:lang w:val="en-US" w:eastAsia="zh-CN"/>
        </w:rPr>
        <w:t>±5</w:t>
      </w:r>
      <w:r>
        <w:rPr>
          <w:rFonts w:hint="eastAsia"/>
          <w:b w:val="0"/>
          <w:bCs w:val="0"/>
          <w:sz w:val="22"/>
          <w:szCs w:val="28"/>
          <w:lang w:val="en-US" w:eastAsia="zh-CN"/>
        </w:rPr>
        <w:t>cm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2）高度调节范围0～66cm。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3）手柄至转动轴距离调节范围14～36cm。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4）阻尼力矩：≥1650N·cm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widowControl w:val="0"/>
        <w:numPr>
          <w:ilvl w:val="0"/>
          <w:numId w:val="2"/>
        </w:numPr>
        <w:ind w:leftChars="0"/>
        <w:jc w:val="both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微波治疗仪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电源：-220V 50Hz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额定输出功率：理疗40W/热凝治疗100W   输入功率：500VA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 xml:space="preserve">工作频率：2450MHz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default"/>
          <w:b w:val="0"/>
          <w:bCs w:val="0"/>
          <w:sz w:val="22"/>
          <w:szCs w:val="28"/>
          <w:lang w:val="en-US" w:eastAsia="zh-CN"/>
        </w:rPr>
        <w:t>匹配负载抗阻：50Ω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621F9"/>
    <w:multiLevelType w:val="singleLevel"/>
    <w:tmpl w:val="993621F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57344E"/>
    <w:multiLevelType w:val="singleLevel"/>
    <w:tmpl w:val="0457344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mVhOGI0NTUwYjI1NDE3MmUzNGIyODlkYzNkMTcifQ=="/>
  </w:docVars>
  <w:rsids>
    <w:rsidRoot w:val="37197C06"/>
    <w:rsid w:val="01E54004"/>
    <w:rsid w:val="19181082"/>
    <w:rsid w:val="1E9F5391"/>
    <w:rsid w:val="37197C06"/>
    <w:rsid w:val="4A096A6D"/>
    <w:rsid w:val="7BE8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1421</Words>
  <Characters>1710</Characters>
  <Lines>0</Lines>
  <Paragraphs>0</Paragraphs>
  <TotalTime>8</TotalTime>
  <ScaleCrop>false</ScaleCrop>
  <LinksUpToDate>false</LinksUpToDate>
  <CharactersWithSpaces>1834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2023-08-30T03:50:00Z</dcterms:created>
  <dc:creator>鸡蛋不好吃</dc:creator>
  <cp:lastModifiedBy>鸡蛋不好吃</cp:lastModifiedBy>
  <dcterms:modified xsi:type="dcterms:W3CDTF">2023-09-25T08:13:03Z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5C04FE07E99D444FA9DBB9A6E2668BA0_11</vt:lpwstr>
  </property>
</Properties>
</file>